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  303-726-5037  •  jrotnbrg@gmail.com  •  linkedin.com/in/joshua-rotenberg</w:t>
      </w:r>
    </w:p>
    <w:p>
      <w:pPr>
        <w:spacing w:after="120"/>
      </w:pPr>
      <w:r>
        <w:rPr>
          <w:rFonts w:ascii="Calibri" w:hAnsi="Calibri"/>
          <w:b w:val="0"/>
          <w:color w:val="1A1A1A"/>
        </w:rPr>
        <w:t>September 22, 2026</w:t>
      </w:r>
    </w:p>
    <w:p>
      <w:pPr>
        <w:spacing w:after="20"/>
      </w:pPr>
      <w:r>
        <w:rPr>
          <w:rFonts w:ascii="Calibri" w:hAnsi="Calibri"/>
          <w:b/>
          <w:color w:val="1A1A1A"/>
        </w:rPr>
        <w:t>Affirm</w:t>
      </w:r>
    </w:p>
    <w:p>
      <w:pPr>
        <w:spacing w:after="160"/>
      </w:pPr>
      <w:r>
        <w:rPr>
          <w:rFonts w:ascii="Calibri" w:hAnsi="Calibri"/>
          <w:b w:val="0"/>
          <w:color w:val="1A1A1A"/>
        </w:rPr>
        <w:t>Re: Client Success Lead</w:t>
      </w:r>
    </w:p>
    <w:p>
      <w:pPr>
        <w:spacing w:after="160"/>
      </w:pPr>
      <w:r>
        <w:rPr>
          <w:rFonts w:ascii="Calibri" w:hAnsi="Calibri"/>
          <w:b w:val="0"/>
          <w:color w:val="1A1A1A"/>
        </w:rPr>
        <w:t>Dear Hiring Team,</w:t>
      </w:r>
    </w:p>
    <w:p>
      <w:pPr>
        <w:spacing w:after="160"/>
      </w:pPr>
      <w:r>
        <w:rPr>
          <w:rFonts w:ascii="Calibri" w:hAnsi="Calibri"/>
          <w:b w:val="0"/>
          <w:color w:val="1A1A1A"/>
        </w:rPr>
        <w:t>My interest in financial services is genuine and specific: I'm drawn to the idea that ownership and purchasing decisions should be simple enough that people can focus on what they actually need rather than the transactional friction standing between them and it. Affirm has built an entire model around that principle for the consumer at checkout; I'd bring the same instinct to the merchant relationships on the other side of that transaction.</w:t>
      </w:r>
    </w:p>
    <w:p>
      <w:pPr>
        <w:spacing w:after="160"/>
      </w:pPr>
      <w:r>
        <w:rPr>
          <w:rFonts w:ascii="Calibri" w:hAnsi="Calibri"/>
          <w:b w:val="0"/>
          <w:color w:val="1A1A1A"/>
        </w:rPr>
        <w:t>That instinct has played out consistently across my career. At Birdeye, I managed a partner portfolio of 15 to 20 accounts, retaining 94% of them by tracking customer health metrics closely enough to intervene on adoption gaps before they hardened into churn. At Wix, I built e-commerce storefronts for retail businesses looking to add a meaningful online revenue line, the same merchant environment Affirm's partners operate within, while overseeing a high-value account portfolio that produced a 30% increase in traffic and a 25% improvement in conversion. At Fetch &amp; Funnel, I managed a banking-industry client directly and helped advance a major banking prospect to the finalist stage of a competitive process. Merchant partner success, e-commerce fluency, and financial-services client experience are not three disparate lines on a resume; they are a single skill set, applied in different rooms.</w:t>
      </w:r>
    </w:p>
    <w:p>
      <w:pPr>
        <w:spacing w:after="160"/>
      </w:pPr>
      <w:r>
        <w:rPr>
          <w:rFonts w:ascii="Calibri" w:hAnsi="Calibri"/>
          <w:b w:val="0"/>
          <w:color w:val="1A1A1A"/>
        </w:rPr>
        <w:t>I'd welcome the opportunity to discuss how this background aligns with the goals of your Client Success team. I can be reached at 303-726-5037 or jrotnbrg@gmail.com.</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