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AI Systems &amp; Technical Solutions Professional | LLM Tooling, Agentic AI &amp; Regulated-Industry Sales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Technical solutions professional with 15+ years in B2B SaaS, including hands-on experience evaluating AI tools and LLM platforms, architecting agent systems, and translating customer requirements into working technical solutions. Comfortable operating in the LLM ecosystem day to day, and brings real B2B sales experience into healthcare and financial-services verticals.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Evaluate and pilot AI tools and automation platforms (GoHighLevel, Zapier, Make, n8n), testing hands-on and recommending the platform that best fits each client's technical requirements and constraints.</w:t>
      </w:r>
    </w:p>
    <w:p>
      <w:pPr>
        <w:spacing w:after="30"/>
        <w:ind w:left="259" w:hanging="259"/>
      </w:pPr>
      <w:r>
        <w:rPr>
          <w:rFonts w:ascii="Calibri" w:hAnsi="Calibri"/>
          <w:b w:val="0"/>
          <w:i w:val="0"/>
          <w:color w:val="163A5F"/>
        </w:rPr>
        <w:t xml:space="preserve">•  </w:t>
      </w:r>
      <w:r>
        <w:rPr>
          <w:rFonts w:ascii="Calibri" w:hAnsi="Calibri"/>
          <w:b w:val="0"/>
          <w:i w:val="0"/>
          <w:color w:val="1A1A1A"/>
        </w:rPr>
        <w:t>Architect and deploy AI-driven agent systems for client businesses, translating non-technical stakeholders' goals into precise, structured prompts and agent instructions.</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workflows into agent architectures with custom logic, writing Python and JavaScript in automation-platform code steps to enrich and validate data.</w:t>
      </w:r>
    </w:p>
    <w:p>
      <w:pPr>
        <w:spacing w:after="30"/>
        <w:ind w:left="259" w:hanging="259"/>
      </w:pPr>
      <w:r>
        <w:rPr>
          <w:rFonts w:ascii="Calibri" w:hAnsi="Calibri"/>
          <w:b w:val="0"/>
          <w:i w:val="0"/>
          <w:color w:val="163A5F"/>
        </w:rPr>
        <w:t xml:space="preserve">•  </w:t>
      </w:r>
      <w:r>
        <w:rPr>
          <w:rFonts w:ascii="Calibri" w:hAnsi="Calibri"/>
          <w:b w:val="0"/>
          <w:i w:val="0"/>
          <w:color w:val="1A1A1A"/>
        </w:rPr>
        <w:t>Design evaluation frameworks to monitor agent outputs, personally performing data labeling and rubric-based grading to keep automated systems accurate.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channel partnerships to agencies focused on healthcare clients, a meaningful share of a 15-20 partner book, developing direct B2B experience selling into a regulated-adjacent vertical.</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software platforms, translating technical capability into business outcomes for both technical and non-technical stakeholders.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Served a banking-industry client end to end and helped pursue a major banking prospect in the northeastern U.S., reaching finalist stage, direct experience selling into the financial-services vertical.</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guiding client onboarding, workflow design, and API integrations as a trusted technical advisor.</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 against.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AI &amp; LLM Ecosystem:  </w:t>
      </w:r>
      <w:r>
        <w:rPr>
          <w:rFonts w:ascii="Calibri" w:hAnsi="Calibri"/>
          <w:b w:val="0"/>
          <w:i w:val="0"/>
          <w:color w:val="1A1A1A"/>
        </w:rPr>
        <w:t>AI Tool Evaluation &amp; Piloting, Agentic AI System Design, Prompt &amp; Agent-Instruction Design, Multi-Platform Automation (GoHighLevel, Zapier, Make, n8n)</w:t>
      </w:r>
    </w:p>
    <w:p>
      <w:pPr>
        <w:spacing w:after="30"/>
      </w:pPr>
      <w:r>
        <w:rPr>
          <w:rFonts w:ascii="Calibri" w:hAnsi="Calibri"/>
          <w:b/>
          <w:i w:val="0"/>
          <w:color w:val="1A1A1A"/>
        </w:rPr>
        <w:t xml:space="preserve">Technical Solutions:  </w:t>
      </w:r>
      <w:r>
        <w:rPr>
          <w:rFonts w:ascii="Calibri" w:hAnsi="Calibri"/>
          <w:b w:val="0"/>
          <w:i w:val="0"/>
          <w:color w:val="1A1A1A"/>
        </w:rPr>
        <w:t>Solution Scoping, API Integrations, Implementation Planning, Technical-to-Business Translation</w:t>
      </w:r>
    </w:p>
    <w:p>
      <w:pPr>
        <w:spacing w:after="30"/>
      </w:pPr>
      <w:r>
        <w:rPr>
          <w:rFonts w:ascii="Calibri" w:hAnsi="Calibri"/>
          <w:b/>
          <w:i w:val="0"/>
          <w:color w:val="1A1A1A"/>
        </w:rPr>
        <w:t xml:space="preserve">Sales &amp; Vertical Experience:  </w:t>
      </w:r>
      <w:r>
        <w:rPr>
          <w:rFonts w:ascii="Calibri" w:hAnsi="Calibri"/>
          <w:b w:val="0"/>
          <w:i w:val="0"/>
          <w:color w:val="1A1A1A"/>
        </w:rPr>
        <w:t>Healthcare-Vertical B2B Sales, Financial-Services Client Experience, Executive Stakeholder Communication, Cross-Functional Collaboration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