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Technical Solutions &amp; Client Strategy Professional | CRM Architecture, Implementation &amp; Stakeholder Translation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Technical solutions and client strategy professional with 15+ years selling and scoping complex software platforms, translating technical capability into clear business outcomes for both IT teams and executive leadership. Builds implementation plans, architects CRM and automation systems, and guides customers through technical setup and integration. A consistent self-teacher of new technical domains, from SQL and Power BI to agentic AI system design.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technical automation systems for client businesses, translating non-technical stakeholders' goals into precise, structured technical requirements and implementation logic.</w:t>
      </w:r>
    </w:p>
    <w:p>
      <w:pPr>
        <w:spacing w:after="30"/>
        <w:ind w:left="259" w:hanging="259"/>
      </w:pPr>
      <w:r>
        <w:rPr>
          <w:rFonts w:ascii="Calibri" w:hAnsi="Calibri"/>
          <w:b w:val="0"/>
          <w:i w:val="0"/>
          <w:color w:val="163A5F"/>
        </w:rPr>
        <w:t xml:space="preserve">•  </w:t>
      </w:r>
      <w:r>
        <w:rPr>
          <w:rFonts w:ascii="Calibri" w:hAnsi="Calibri"/>
          <w:b w:val="0"/>
          <w:i w:val="0"/>
          <w:color w:val="1A1A1A"/>
        </w:rPr>
        <w:t>Write SQL queries for Power BI data modeling and BigQuery/GA4 pulls, and install and configure Google Tag Manager and technical tracking infrastructure on every client site.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marketing-automation tools in Salesforce, reducing onboarding friction through scalable communication workflows.</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retaining all but one (~94% retention) during tenure.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 guiding customers through technical setup and configuration.</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and GA4/Tag Manager technical implementation.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Technical Solutions &amp; Implementation:  </w:t>
      </w:r>
      <w:r>
        <w:rPr>
          <w:rFonts w:ascii="Calibri" w:hAnsi="Calibri"/>
          <w:b w:val="0"/>
          <w:i w:val="0"/>
          <w:color w:val="1A1A1A"/>
        </w:rPr>
        <w:t>Solution Scoping, Implementation Planning, API Integrations, Technical Onboarding, Workflow Architecture</w:t>
      </w:r>
    </w:p>
    <w:p>
      <w:pPr>
        <w:spacing w:after="30"/>
      </w:pPr>
      <w:r>
        <w:rPr>
          <w:rFonts w:ascii="Calibri" w:hAnsi="Calibri"/>
          <w:b/>
          <w:i w:val="0"/>
          <w:color w:val="1A1A1A"/>
        </w:rPr>
        <w:t xml:space="preserve">Data &amp; Systems:  </w:t>
      </w:r>
      <w:r>
        <w:rPr>
          <w:rFonts w:ascii="Calibri" w:hAnsi="Calibri"/>
          <w:b w:val="0"/>
          <w:i w:val="0"/>
          <w:color w:val="1A1A1A"/>
        </w:rPr>
        <w:t>SQL (Working Proficiency), Power BI, Salesforce, HubSpot, Google Tag Manager</w:t>
      </w:r>
    </w:p>
    <w:p>
      <w:pPr>
        <w:spacing w:after="30"/>
      </w:pPr>
      <w:r>
        <w:rPr>
          <w:rFonts w:ascii="Calibri" w:hAnsi="Calibri"/>
          <w:b/>
          <w:i w:val="0"/>
          <w:color w:val="1A1A1A"/>
        </w:rPr>
        <w:t xml:space="preserve">Consultative &amp; Executive Communication:  </w:t>
      </w:r>
      <w:r>
        <w:rPr>
          <w:rFonts w:ascii="Calibri" w:hAnsi="Calibri"/>
          <w:b w:val="0"/>
          <w:i w:val="0"/>
          <w:color w:val="1A1A1A"/>
        </w:rPr>
        <w:t>Technical-to-Business Translation, C-Suite Advisory, Stakeholder Consulting, Rapid Technical Self-Teaching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