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August 13, 2026</w:t>
      </w:r>
    </w:p>
    <w:p>
      <w:pPr>
        <w:spacing w:after="20"/>
      </w:pPr>
      <w:r>
        <w:rPr>
          <w:rFonts w:ascii="Calibri" w:hAnsi="Calibri"/>
          <w:b/>
          <w:color w:val="1A1A1A"/>
        </w:rPr>
        <w:t>Commuting Solutions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Marketing Communications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Marketing Communications Specialist role. What draws me to it is the ownership: one person running website content, SEO, email, and communications end to end for an organization people rely on to get around the northwest metro. That's the same shape of work I do now, hands-on, not delegated.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 few things line up directly. I maintain client websites and run technical SEO audits and keyword research myself, keeping content accurate and aligned with search performance. I build and send segmented email campaigns and newsletters and track results in GA4, then turn that into monthly reporting a director can act on without translation. And I write the copy myself: direct-response content, campaign copy, and recurring newsletter and thought-leadership pieces.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don't have WordPress or Meta Ads by name, or a background in transportation or nonprofit work, and I'd rather say that directly than have it surface later. What I bring instead is genuine hands-on execution across the channels this role owns, and a track record of being the person who keeps a small organization's communications running day to day.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I'd welcome the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