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August 31, 2026</w:t>
      </w:r>
    </w:p>
    <w:p>
      <w:pPr>
        <w:spacing w:after="20"/>
      </w:pPr>
      <w:r>
        <w:rPr>
          <w:rFonts w:ascii="Calibri" w:hAnsi="Calibri"/>
          <w:b/>
          <w:color w:val="1A1A1A"/>
        </w:rPr>
        <w:t>Smartling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Product Marketing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Product Marketing Manager role. I haven't held the title Product Marketing Manager before, my background is broader B2B marketing and content, but the actual work described in the posting, finding the human angle in what a product does and turning it into a story people care about, is what I've been doing for the last several years, just without that specific job title attached to it.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Solenzo, I write the thought leadership content, newsletters, and messaging frameworks that turn what a client's business does into something a prospect actually connects with, and I build a new version of that positioning for every client rather than reusing the same story twice. At Level Agency, I produced campaign assets and conversion-focused copy while coordinating execution across internal departments, which is the same cross-functional muscle this role needs to keep a story consistent across product, sales, and customer success. And because I run my own practice, I talk to customers constantly and rebuild messaging based on what I actually hear, not just what I assume they want.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What draws me to Smartling specifically is the problem itself: making a brand's story land the same way across languages and cultures is a harder version of the same problem I solve for clients across different verticals and audiences. I'd welcome the chance to talk through how that instinct applies to your product launches.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