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12,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LendingTree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CRM Campaign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Building email programs that move people to act is my day-to-day. At Solenzo I design and run automated lifecycle journeys for consumer-facing service businesses: onboarding, reminders, nurture, reactivation of lapsed customers, and review requests, built on segmentation, lifecycle stages, and lead scoring in GoHighLevel and HubSpot. I write the copy, set up the tracking, and iterate on what the numbers show. Over the last 18 months my programs delivered 880K+ emails at a ~43% open rate and ~11% click rate, with a 0.01% spam complaint rate, because list hygiene and relevance come first.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Level Agency I built complex email sequences and landing pages for accounts spending $20K+ a month on ads, ran A/B tests, and walked clients through ROI and conversion results. Financial services is a space I care about too: I served a banking client at Fetch &amp; Funnel, and I'm genuinely interested in making big financial decisions like insurance easier for the people making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live in Arvada, and the Denver hybrid schedule works for me.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