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CRM &amp; Lifecycle Email Marketing | Segmentation, Personalization, Automation, A/B Testing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Lifecycle and CRM marketer who builds and runs email programs end to end: 880K+ emails delivered over ~18 months at a ~43% open rate, ~11% click rate, and 0.01% spam complaint rate. At Solenzo I design, build, and optimize automated lifecycle journeys for consumer-facing service businesses: onboarding, nurture, booking reminders, no-show recovery, reactivation of lapsed customers, and review requests across 20+ production workflows, with segmentation, lifecycle stages, and lead scoring in GoHighLevel and HubSpot. At Level Agency I built complex email sequences and landing pages for accounts spending $20K+/month on ads, ran A/B tests, and reported ROI, CAC, and conversion KPIs.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Lifecycle &amp; CRM Marketing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email programs in GoHighLevel delivering 880K+ emails over ~18 months at a ~43% open rate, ~11% click rate, ~1.4% bounce rate, and 0.01% spam complaint rate, across campaigns, automated workflows, and bulk sends.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lifecycle email journeys that activate, nurture, and retain customers, including onboarding, booking confirmations and reminders, no-show recovery, reactivation of lapsed customers, and review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segmentation, lifecycle stages, lead scoring, and qualification criteria in GoHighLevel and HubSpot, with strict data-hygiene rules so personalization holds 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email copy, subject lines, and landing pages; track performance with GA4, UTM conventions, and dashboards, and iterate based on results.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complex email sequences, landing pages, and conversion-focused copy that improved lead generation for accounts at $20K+/month in ad spend.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A/B-tested campaign setups and built reporting on ROI, CAC, LTV, and conversion KPIs, presenting results and recommendations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 across a partner network, retaining all but one of 15-20 partners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 workflow-automation effort, defining test structure and success criteria.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Email &amp; Lifecycle:  </w:t>
      </w:r>
      <w:r>
        <w:rPr>
          <w:rFonts w:ascii="Calibri" w:hAnsi="Calibri"/>
          <w:b w:val="0"/>
          <w:i w:val="0"/>
          <w:color w:val="1A1A1A"/>
        </w:rPr>
        <w:t>Automated &amp; One-Time Campaigns, Segmentation &amp; Personalization, Customer Journeys &amp; Reactivation, Email Copy, Templates &amp; Landing Pages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Testing, Data &amp; Tools:  </w:t>
      </w:r>
      <w:r>
        <w:rPr>
          <w:rFonts w:ascii="Calibri" w:hAnsi="Calibri"/>
          <w:b w:val="0"/>
          <w:i w:val="0"/>
          <w:color w:val="1A1A1A"/>
        </w:rPr>
        <w:t>A/B Testing &amp; KPI Analysis, GoHighLevel, HubSpot, Mailchimp, Salesforce, GA4, UTM Governance, SQL (working), Power BI, Campaign Calendars &amp; Stakeholder Reporting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