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Infinite Outdoors</w:t>
      </w:r>
    </w:p>
    <w:p>
      <w:pPr>
        <w:spacing w:after="160"/>
      </w:pPr>
      <w:r>
        <w:rPr>
          <w:rFonts w:ascii="Calibri" w:hAnsi="Calibri"/>
          <w:b w:val="0"/>
          <w:color w:val="1A1A1A"/>
        </w:rPr>
        <w:t>Re: Growth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Growth Marketing Manager role. The phrase in your posting I'd point at is repeatable, scalable systems, because that's the distinction I care about too. At Solenzo I built an acquisition and lifecycle system of 20+ workflows covering capture, routing, qualification, booking with confirmations and reminders, no-show recovery, onboarding nurture, and long-term reactivation, plus segmented outreach engines and an automated audit workflow that scored a company's digital footprint and enrolled 180+ contacts. That's a system that keeps running, not a campaign that ends.</w:t>
      </w:r>
    </w:p>
    <w:p>
      <w:pPr>
        <w:spacing w:after="160"/>
      </w:pPr>
      <w:r>
        <w:rPr>
          <w:rFonts w:ascii="Calibri" w:hAnsi="Calibri"/>
          <w:b w:val="0"/>
          <w:color w:val="1A1A1A"/>
        </w:rPr>
        <w:t>On the analytics side, at Level Agency I built the reporting frameworks that tracked ROI, CAC, LTV, and conversion KPIs, and used them to make optimization and budget recommendations. I build the dashboards myself rather than requesting them, which matters when the question is where the next dollar should go. And I'm comfortable working the seam with Product and Engineering: at Birdeye I routed structured customer feedback into roadmap decisions, and at Solenzo the most useful thing I did on one paid account was follow a conversion gap past the ad platform into the on-site experience, where the actual problem was.</w:t>
      </w:r>
    </w:p>
    <w:p>
      <w:pPr>
        <w:spacing w:after="160"/>
      </w:pPr>
      <w:r>
        <w:rPr>
          <w:rFonts w:ascii="Calibri" w:hAnsi="Calibri"/>
          <w:b w:val="0"/>
          <w:color w:val="1A1A1A"/>
        </w:rPr>
        <w:t>On referral and partner acquisition, I ran a 15 to 20 partner reseller and referral network at Birdeye, recruiting and onboarding them, building the training and communication sequences that made them productive, and retaining all but one.</w:t>
      </w:r>
    </w:p>
    <w:p>
      <w:pPr>
        <w:spacing w:after="160"/>
      </w:pPr>
      <w:r>
        <w:rPr>
          <w:rFonts w:ascii="Calibri" w:hAnsi="Calibri"/>
          <w:b w:val="0"/>
          <w:color w:val="1A1A1A"/>
        </w:rPr>
        <w:t>I'll be direct about scope. My growth work has been B2B and service-business rather than consumer membership, so the specific rhythms of subscription acquisition would be new context for me, though CAC discipline, funnel analysis, and conversion testing are not.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