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September 16, 2026</w:t>
      </w:r>
    </w:p>
    <w:p>
      <w:pPr>
        <w:spacing w:after="20"/>
      </w:pPr>
      <w:r>
        <w:rPr>
          <w:rFonts w:ascii="Calibri" w:hAnsi="Calibri"/>
          <w:b/>
          <w:color w:val="1A1A1A"/>
        </w:rPr>
        <w:t>Connecteam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SMB Onboarding Manager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Connecteam's SMB customers need someone who can walk them from kickoff to a working, adopted product fast, and that's the job I've been doing for small businesses for years. At Wix, I onboarded 25+ SMB and mid-market clients a month while holding 120% of sales and 110% of implementation targets, a pace I sustained across two years, not a single strong month.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At Birdeye, I onboarded and trained a network of 15 to 20 small-business reseller partners and retained 94% of them, building the communication workflows and automated training that got each partner to a fast, visible win. Today at Solenzo, I run onboarding and configuration for small, service-based businesses directly, building the automation that gives each new client a working result in the first week. That's the same standard of speed and follow-through I'd bring to Connecteam's onboarding process.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I'd welcome a conversation about how that experience applies to Connecteam's SMB onboarding function. I'm available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Sincerely,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