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Growth Marketing Manager | Lifecycle &amp; Engagement Marketing Operations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Growth marketing and marketing-operations leader with 15+ years building automated, multichannel engagement campaigns that move people from first contact to completed action. Architects the CRM and marketing-automation infrastructure (GoHighLevel, HubSpot) behind those campaigns, partners directly with product and engineering to build that infrastructure, and uses data to continuously refine targeting, creative, and conversion at every stage of the funnel.</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Architected and deployed a complete GoHighLevel marketing-automation system (20+ workflows) spanning lead capture, tagging, and routing, lead qualification, appointment booking with confirmation and reminders, no-show recovery, post-sale onboarding nurture, long-term nurture and reactivation, and automated review-generation sequences, covering the full journey from first contact through completed engagement.</w:t>
      </w:r>
    </w:p>
    <w:p>
      <w:pPr>
        <w:spacing w:after="30"/>
        <w:ind w:left="259" w:hanging="259"/>
      </w:pPr>
      <w:r>
        <w:rPr>
          <w:rFonts w:ascii="Calibri" w:hAnsi="Calibri"/>
          <w:b w:val="0"/>
          <w:i w:val="0"/>
          <w:color w:val="163A5F"/>
        </w:rPr>
        <w:t xml:space="preserve">•  </w:t>
      </w:r>
      <w:r>
        <w:rPr>
          <w:rFonts w:ascii="Calibri" w:hAnsi="Calibri"/>
          <w:b w:val="0"/>
          <w:i w:val="0"/>
          <w:color w:val="1A1A1A"/>
        </w:rPr>
        <w:t>Built segmented, triggered outreach campaigns (website-visibility, missed-calls, and low-reviews) plus an automated audit workflow that enrolled 180+ contacts based on scored engagement signals.</w:t>
      </w:r>
    </w:p>
    <w:p>
      <w:pPr>
        <w:spacing w:after="30"/>
        <w:ind w:left="259" w:hanging="259"/>
      </w:pPr>
      <w:r>
        <w:rPr>
          <w:rFonts w:ascii="Calibri" w:hAnsi="Calibri"/>
          <w:b w:val="0"/>
          <w:i w:val="0"/>
          <w:color w:val="163A5F"/>
        </w:rPr>
        <w:t xml:space="preserve">•  </w:t>
      </w:r>
      <w:r>
        <w:rPr>
          <w:rFonts w:ascii="Calibri" w:hAnsi="Calibri"/>
          <w:b w:val="0"/>
          <w:i w:val="0"/>
          <w:color w:val="1A1A1A"/>
        </w:rPr>
        <w:t>Break down manual marketing workflows into agent architectures with custom logic that scores a business's engagement signals and generates targeted, personalized outreach.</w:t>
      </w:r>
    </w:p>
    <w:p>
      <w:pPr>
        <w:spacing w:after="30"/>
        <w:ind w:left="259" w:hanging="259"/>
      </w:pPr>
      <w:r>
        <w:rPr>
          <w:rFonts w:ascii="Calibri" w:hAnsi="Calibri"/>
          <w:b w:val="0"/>
          <w:i w:val="0"/>
          <w:color w:val="163A5F"/>
        </w:rPr>
        <w:t xml:space="preserve">•  </w:t>
      </w:r>
      <w:r>
        <w:rPr>
          <w:rFonts w:ascii="Calibri" w:hAnsi="Calibri"/>
          <w:b w:val="0"/>
          <w:i w:val="0"/>
          <w:color w:val="1A1A1A"/>
        </w:rPr>
        <w:t>Design self-improving loops and evaluation frameworks to monitor automation outputs and continuously optimize conversion rates.</w:t>
      </w:r>
    </w:p>
    <w:p>
      <w:pPr>
        <w:spacing w:after="30"/>
        <w:ind w:left="259" w:hanging="259"/>
      </w:pPr>
      <w:r>
        <w:rPr>
          <w:rFonts w:ascii="Calibri" w:hAnsi="Calibri"/>
          <w:b w:val="0"/>
          <w:i w:val="0"/>
          <w:color w:val="163A5F"/>
        </w:rPr>
        <w:t xml:space="preserve">•  </w:t>
      </w:r>
      <w:r>
        <w:rPr>
          <w:rFonts w:ascii="Calibri" w:hAnsi="Calibri"/>
          <w:b w:val="0"/>
          <w:i w:val="0"/>
          <w:color w:val="1A1A1A"/>
        </w:rPr>
        <w:t>Track acquisition and retention across multiple accounts using GA4 and CRM analytics, delivering reporting that drives experimentation and growth.</w:t>
      </w:r>
    </w:p>
    <w:p>
      <w:pPr>
        <w:spacing w:after="30"/>
        <w:ind w:left="259" w:hanging="259"/>
      </w:pPr>
      <w:r>
        <w:rPr>
          <w:rFonts w:ascii="Calibri" w:hAnsi="Calibri"/>
          <w:b w:val="0"/>
          <w:i w:val="0"/>
          <w:color w:val="163A5F"/>
        </w:rPr>
        <w:t xml:space="preserve">•  </w:t>
      </w:r>
      <w:r>
        <w:rPr>
          <w:rFonts w:ascii="Calibri" w:hAnsi="Calibri"/>
          <w:b w:val="0"/>
          <w:i w:val="0"/>
          <w:color w:val="1A1A1A"/>
        </w:rPr>
        <w:t>Translate non-technical stakeholders' ideas and feedback into precise, structured automation logic and AI agent instructions, acting as the bridge between business intent and reliable system output.</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integrated digital marketing strategies across inbound, paid media, and content, acting as strategic lead and coordinating execution across internal departments.</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w:t>
      </w:r>
    </w:p>
    <w:p>
      <w:pPr>
        <w:spacing w:after="30"/>
        <w:ind w:left="259" w:hanging="259"/>
      </w:pPr>
      <w:r>
        <w:rPr>
          <w:rFonts w:ascii="Calibri" w:hAnsi="Calibri"/>
          <w:b w:val="0"/>
          <w:i w:val="0"/>
          <w:color w:val="163A5F"/>
        </w:rPr>
        <w:t xml:space="preserve">•  </w:t>
      </w:r>
      <w:r>
        <w:rPr>
          <w:rFonts w:ascii="Calibri" w:hAnsi="Calibri"/>
          <w:b w:val="0"/>
          <w:i w:val="0"/>
          <w:color w:val="1A1A1A"/>
        </w:rPr>
        <w:t>Produced high-converting campaign assets (landing pages, complex email sequences, conversion-focused copy) that improved lead generation and pipeline.</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spanning health, home services, and retail verticals), retaining all but one (~94% retention) during tenure.</w:t>
      </w:r>
    </w:p>
    <w:p>
      <w:pPr>
        <w:spacing w:after="30"/>
        <w:ind w:left="259" w:hanging="259"/>
      </w:pPr>
      <w:r>
        <w:rPr>
          <w:rFonts w:ascii="Calibri" w:hAnsi="Calibri"/>
          <w:b w:val="0"/>
          <w:i w:val="0"/>
          <w:color w:val="163A5F"/>
        </w:rPr>
        <w:t xml:space="preserve">•  </w:t>
      </w:r>
      <w:r>
        <w:rPr>
          <w:rFonts w:ascii="Calibri" w:hAnsi="Calibri"/>
          <w:b w:val="0"/>
          <w:i w:val="0"/>
          <w:color w:val="1A1A1A"/>
        </w:rPr>
        <w:t>Developed scalable communication workflows and automated product-training sequences that reduced onboarding friction.</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for 2 years (a team of 20, later a team of 8),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Drove team initiatives and process improvements for a brand-new Wix vertical that went from proof of concept to a profitable business line, contributing to hiring, onboarding, and training of new hires and developing sales training for tenured account executives.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Growth &amp; Engagement Marketing:  </w:t>
      </w:r>
      <w:r>
        <w:rPr>
          <w:rFonts w:ascii="Calibri" w:hAnsi="Calibri"/>
          <w:b w:val="0"/>
          <w:i w:val="0"/>
          <w:color w:val="1A1A1A"/>
        </w:rPr>
        <w:t>Multichannel Campaign Design, Lifecycle &amp; Engagement Marketing, Consumer-Facing Campaigns, Conversion Rate Optimization</w:t>
      </w:r>
    </w:p>
    <w:p>
      <w:pPr>
        <w:spacing w:after="30"/>
      </w:pPr>
      <w:r>
        <w:rPr>
          <w:rFonts w:ascii="Calibri" w:hAnsi="Calibri"/>
          <w:b/>
          <w:i w:val="0"/>
          <w:color w:val="1A1A1A"/>
        </w:rPr>
        <w:t xml:space="preserve">Marketing Automation &amp; CRM:  </w:t>
      </w:r>
      <w:r>
        <w:rPr>
          <w:rFonts w:ascii="Calibri" w:hAnsi="Calibri"/>
          <w:b w:val="0"/>
          <w:i w:val="0"/>
          <w:color w:val="1A1A1A"/>
        </w:rPr>
        <w:t>GoHighLevel CRM &amp; Automation Architecture, HubSpot, Marketing Technology Infrastructure, Workflow Design</w:t>
      </w:r>
    </w:p>
    <w:p>
      <w:pPr>
        <w:spacing w:after="30"/>
      </w:pPr>
      <w:r>
        <w:rPr>
          <w:rFonts w:ascii="Calibri" w:hAnsi="Calibri"/>
          <w:b/>
          <w:i w:val="0"/>
          <w:color w:val="1A1A1A"/>
        </w:rPr>
        <w:t xml:space="preserve">Data &amp; Analytics:  </w:t>
      </w:r>
      <w:r>
        <w:rPr>
          <w:rFonts w:ascii="Calibri" w:hAnsi="Calibri"/>
          <w:b w:val="0"/>
          <w:i w:val="0"/>
          <w:color w:val="1A1A1A"/>
        </w:rPr>
        <w:t>Google Analytics (GA4), Campaign Reporting &amp; KPI Tracking, A/B Testing &amp; Experimentation, Data-Driven Targeting</w:t>
      </w:r>
    </w:p>
    <w:p>
      <w:pPr>
        <w:spacing w:after="30"/>
      </w:pPr>
      <w:r>
        <w:rPr>
          <w:rFonts w:ascii="Calibri" w:hAnsi="Calibri"/>
          <w:b/>
          <w:i w:val="0"/>
          <w:color w:val="1A1A1A"/>
        </w:rPr>
        <w:t xml:space="preserve">Leadership &amp; Cross-Functional Collaboration:  </w:t>
      </w:r>
      <w:r>
        <w:rPr>
          <w:rFonts w:ascii="Calibri" w:hAnsi="Calibri"/>
          <w:b w:val="0"/>
          <w:i w:val="0"/>
          <w:color w:val="1A1A1A"/>
        </w:rPr>
        <w:t>Team Leadership &amp; Development, Cross-Functional Partnership (Product &amp; Engineering), AI &amp; Automation Workflow Design, Stakeholder Communication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