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Digital Marketing Strategist &amp; Multi-Account Portfolio Manager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strategist with 15+ years managing digital marketing, lead generation, and performance reporting for a portfolio of client accounts, most recently as founder of Solenzo. Builds and executes SEO, paid media, and conversion-optimization strategy, and translates performance data into budget and investment recommendations for stakeholders. Prior tenure at Birdeye included guiding customers through reputation-management platform setup, direct experience with the online reputation management this role calls for.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and onboarding to surface client goals, objectives, and market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 a client's Google Ads account and diagnose on-site CRO as the remaining conversion bottleneck.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technical SEO audits, keyword gap analyses, and competitor research using Screaming Frog, implementing fixes directly inside client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delivering insights to executive stakeholders.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setup and configuration of reputation-management and marketing-automation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 verticals), retaining all but one (~94% retention) during tenure.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20-person, later 8-person, onboarding team for 2 years, owning budgets, scope, and delivery for a high-value client portfolio.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Digital Marketing:  </w:t>
      </w:r>
      <w:r>
        <w:rPr>
          <w:rFonts w:ascii="Calibri" w:hAnsi="Calibri"/>
          <w:b w:val="0"/>
          <w:i w:val="0"/>
          <w:color w:val="1A1A1A"/>
        </w:rPr>
        <w:t>SEO, Paid Media (Google Ads), Paid Social (Meta Ads Certified), Online Reputation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Marketing Analytics &amp; Reporting:  </w:t>
      </w:r>
      <w:r>
        <w:rPr>
          <w:rFonts w:ascii="Calibri" w:hAnsi="Calibri"/>
          <w:b w:val="0"/>
          <w:i w:val="0"/>
          <w:color w:val="1A1A1A"/>
        </w:rPr>
        <w:t>GA4, KPI &amp; ROI Reporting, Campaign Performance Analysis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Portfolio &amp; Project Management:  </w:t>
      </w:r>
      <w:r>
        <w:rPr>
          <w:rFonts w:ascii="Calibri" w:hAnsi="Calibri"/>
          <w:b w:val="0"/>
          <w:i w:val="0"/>
          <w:color w:val="1A1A1A"/>
        </w:rPr>
        <w:t>Multi-Account Portfolio Management, Asana, Budget &amp; ROI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Stakeholder &amp; Vendor Relations:  </w:t>
      </w:r>
      <w:r>
        <w:rPr>
          <w:rFonts w:ascii="Calibri" w:hAnsi="Calibri"/>
          <w:b w:val="0"/>
          <w:i w:val="0"/>
          <w:color w:val="1A1A1A"/>
        </w:rPr>
        <w:t>Client &amp; Stakeholder Management, Vendor Relations, Creative Content Development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