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Digible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SEO Strategist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Local SEO is what I do every day. At Solenzo, the first thing every client gets is a fully optimized Google Business Profile, and everything else builds on it: technical audits in Screaming Frog, schema, on-page fixes I make directly in the CMS, and GTM, GA4, and Search Console on every site.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got into local search at Birdeye, where the backbone of the offer I sold was a listings data-aggregator product. I onboarded 15 to 20 reseller partners and made sure every one of their end customers had clean, consistent listings across the directory network. More recently, I built an automated audit that scores a business across 16 SEO and AI-visibility dimensions, tests how AI models recommend it, and flags the fixes. AI search is changing what local visibility means, and I've been building for it, not waiting on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in multifamily yet, and I'd pick up the vertical quickly. A portfolio of properties that each need to win their own local market is the same problem I solve now, at a bigger scale, and that's what makes this role appealing. Got time for a conversation this week?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