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Aaron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18, 2026</w:t>
      </w:r>
    </w:p>
    <w:p>
      <w:pPr>
        <w:spacing w:after="20"/>
      </w:pPr>
      <w:r>
        <w:rPr>
          <w:rFonts w:ascii="Calibri" w:hAnsi="Calibri"/>
          <w:b/>
          <w:color w:val="1A1A1A"/>
        </w:rPr>
        <w:t>Portside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Solutions Engineer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One of my Accelo accounts was a client in the business of buying, selling, and storing aircraft, and I've talked with a couple of other people in aviation since who needed project-management help. That's a real but limited window into the industry, not aviation-software expertise, and I want to be upfront about that scope.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Accelo I owned technical onboarding, workflow design, and API integrations directly with client teams, building trust with C-suite stakeholders as the technical voice in the account, the aviation client included. At Solenzo I design and build the kind of proof-of-concept tooling this role calls for: a self-serve audit workflow that scored a business's digital footprint and enrolled 180-plus prospects, translating a technical capability into something a non-technical buyer could see the value of immediately. At Birdeye I worked directly with Product and Engineering to turn customer feedback into roadmap input, and managed the CRM pipeline in Salesforce.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haven't carried a formal Solutions Engineer title, and my aviation exposure is real but narrow. What I bring is 15 years of being the technical point of contact who takes a prospect from discovery to a working system, across CRM, API, and automation platforms. I'd welcome the chance to talk through how that applies to Portside's platform.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Aaron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