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Senior Marketing Specialist</w:t>
      </w:r>
    </w:p>
    <w:p>
      <w:pPr>
        <w:spacing w:after="80"/>
        <w:jc w:val="center"/>
      </w:pPr>
      <w:r>
        <w:rPr>
          <w:rFonts w:ascii="Calibri" w:hAnsi="Calibri"/>
          <w:b w:val="0"/>
          <w:i w:val="0"/>
          <w:color w:val="555555"/>
          <w:sz w:val="18"/>
        </w:rPr>
        <w:t>Arvada, CO (Denver Metro)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Marketing professional with 15+ years building and optimizing email and lifecycle marketing programs, architecting a complete GoHighLevel automation system spanning 20+ workflows (capture, qualification, booking, no-show recovery, onboarding nurture, long-term reactivation) alongside HubSpot email sequences and segmented outreach campaigns. Deep hands-on marketing-automation-platform experience (GoHighLevel primary, HubSpot secondary) architecting the segmentation, lifecycle stages, and testing that drive personalization at scale. Use AI tools daily to accelerate content development and campaign optimization, translating loosely-defined business goals into structured, executable marketing logic. Comfortable in a fast-paced, high-volume environment, letting performance data drive the next test.</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Architected and deployed a complete GoHighLevel marketing-automation system - 20+ workflows spanning lead capture/tagging/routing, lead qualification, appointment booking with confirmation and reminders, no-show recovery, post-sale onboarding nurture, long-term nurture/reactivation, and automated review-generation sequences.</w:t>
      </w:r>
    </w:p>
    <w:p>
      <w:pPr>
        <w:spacing w:after="30"/>
        <w:ind w:left="259" w:hanging="259"/>
      </w:pPr>
      <w:r>
        <w:rPr>
          <w:rFonts w:ascii="Calibri" w:hAnsi="Calibri"/>
          <w:b w:val="0"/>
          <w:i w:val="0"/>
          <w:color w:val="163A5F"/>
        </w:rPr>
        <w:t xml:space="preserve">•  </w:t>
      </w:r>
      <w:r>
        <w:rPr>
          <w:rFonts w:ascii="Calibri" w:hAnsi="Calibri"/>
          <w:b w:val="0"/>
          <w:i w:val="0"/>
          <w:color w:val="1A1A1A"/>
        </w:rPr>
        <w:t>Built segmented cold-email outreach engines (website-visibility, missed-calls, and low-reviews campaigns) plus an automated prospect-audit workflow that enrolled 180+ contacts, scoring each business's digital footprint to trigger personalized outreach.</w:t>
      </w:r>
    </w:p>
    <w:p>
      <w:pPr>
        <w:spacing w:after="30"/>
        <w:ind w:left="259" w:hanging="259"/>
      </w:pPr>
      <w:r>
        <w:rPr>
          <w:rFonts w:ascii="Calibri" w:hAnsi="Calibri"/>
          <w:b w:val="0"/>
          <w:i w:val="0"/>
          <w:color w:val="163A5F"/>
        </w:rPr>
        <w:t xml:space="preserve">•  </w:t>
      </w:r>
      <w:r>
        <w:rPr>
          <w:rFonts w:ascii="Calibri" w:hAnsi="Calibri"/>
          <w:b w:val="0"/>
          <w:i w:val="0"/>
          <w:color w:val="1A1A1A"/>
        </w:rPr>
        <w:t>Design and deploy automated lifecycle sequences, onboarding workflows, and CRM architectures that activate, nurture, and retain high-value users at scale.</w:t>
      </w:r>
    </w:p>
    <w:p>
      <w:pPr>
        <w:spacing w:after="30"/>
        <w:ind w:left="259" w:hanging="259"/>
      </w:pPr>
      <w:r>
        <w:rPr>
          <w:rFonts w:ascii="Calibri" w:hAnsi="Calibri"/>
          <w:b w:val="0"/>
          <w:i w:val="0"/>
          <w:color w:val="163A5F"/>
        </w:rPr>
        <w:t xml:space="preserve">•  </w:t>
      </w:r>
      <w:r>
        <w:rPr>
          <w:rFonts w:ascii="Calibri" w:hAnsi="Calibri"/>
          <w:b w:val="0"/>
          <w:i w:val="0"/>
          <w:color w:val="1A1A1A"/>
        </w:rPr>
        <w:t>Use AI tools to accelerate content development and campaign optimization, translating non-technical stakeholders' goals into precise, structured prompts and workflows.</w:t>
      </w:r>
    </w:p>
    <w:p>
      <w:pPr>
        <w:spacing w:after="30"/>
        <w:ind w:left="259" w:hanging="259"/>
      </w:pPr>
      <w:r>
        <w:rPr>
          <w:rFonts w:ascii="Calibri" w:hAnsi="Calibri"/>
          <w:b w:val="0"/>
          <w:i w:val="0"/>
          <w:color w:val="163A5F"/>
        </w:rPr>
        <w:t xml:space="preserve">•  </w:t>
      </w:r>
      <w:r>
        <w:rPr>
          <w:rFonts w:ascii="Calibri" w:hAnsi="Calibri"/>
          <w:b w:val="0"/>
          <w:i w:val="0"/>
          <w:color w:val="1A1A1A"/>
        </w:rPr>
        <w:t>Design self-improving loops and evaluation frameworks to monitor campaign outputs, testing and optimizing conversion rates on an ongoing basis.</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lead generation, funnel progression, campaign ROI, and pipeline velocity, delivering insights on a regular cadence.</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Produced complex email sequences and conversion-focused copy as part of high-converting campaign assets, improving lead generation and pipeline.</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QBRs.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complex technical setup and configuration of marketing-automation tools, translating platform capabilities into plain-language guidance.</w:t>
      </w:r>
    </w:p>
    <w:p>
      <w:pPr>
        <w:spacing w:after="30"/>
        <w:ind w:left="259" w:hanging="259"/>
      </w:pPr>
      <w:r>
        <w:rPr>
          <w:rFonts w:ascii="Calibri" w:hAnsi="Calibri"/>
          <w:b w:val="0"/>
          <w:i w:val="0"/>
          <w:color w:val="163A5F"/>
        </w:rPr>
        <w:t xml:space="preserve">•  </w:t>
      </w:r>
      <w:r>
        <w:rPr>
          <w:rFonts w:ascii="Calibri" w:hAnsi="Calibri"/>
          <w:b w:val="0"/>
          <w:i w:val="0"/>
          <w:color w:val="1A1A1A"/>
        </w:rPr>
        <w:t>Developed scalable communication workflows and automated training sequences that reduced onboarding friction.</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share structured, high-priority customer feedback informing the roadmap.</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overseeing budgets, scope, and delivery for a high-value client portfolio.</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covering campaign execution, performance reporting, and cross-team communication.</w:t>
      </w:r>
    </w:p>
    <w:p>
      <w:pPr>
        <w:spacing w:after="30"/>
        <w:ind w:left="259" w:hanging="259"/>
      </w:pPr>
      <w:r>
        <w:rPr>
          <w:rFonts w:ascii="Calibri" w:hAnsi="Calibri"/>
          <w:b w:val="0"/>
          <w:i w:val="0"/>
          <w:color w:val="163A5F"/>
        </w:rPr>
        <w:t xml:space="preserve">•  </w:t>
      </w:r>
      <w:r>
        <w:rPr>
          <w:rFonts w:ascii="Calibri" w:hAnsi="Calibri"/>
          <w:b w:val="0"/>
          <w:i w:val="0"/>
          <w:color w:val="1A1A1A"/>
        </w:rPr>
        <w:t>Built and refined internal processes that improved reporting accuracy and reduced handoff errors.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complex CRM and project-management software to agencies and professional-services firms, with deep fluency in workflow automation and pipeline configuration.</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of 8 to 15 reps for effectively the full tenure, holding that ranking while quota roughly doubled over the period.</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Email &amp; Lifecycle Marketing:  </w:t>
      </w:r>
      <w:r>
        <w:rPr>
          <w:rFonts w:ascii="Calibri" w:hAnsi="Calibri"/>
          <w:b w:val="0"/>
          <w:i w:val="0"/>
          <w:color w:val="1A1A1A"/>
        </w:rPr>
        <w:t>Marketing Automation Architecture, Lifecycle Sequences, Segmentation &amp; Personalization, Onboarding/Nurture/Reactivation Workflows, A/B Testing</w:t>
      </w:r>
    </w:p>
    <w:p>
      <w:pPr>
        <w:spacing w:after="30"/>
      </w:pPr>
      <w:r>
        <w:rPr>
          <w:rFonts w:ascii="Calibri" w:hAnsi="Calibri"/>
          <w:b/>
          <w:i w:val="0"/>
          <w:color w:val="1A1A1A"/>
        </w:rPr>
        <w:t xml:space="preserve">AI-Enabled Marketing:  </w:t>
      </w:r>
      <w:r>
        <w:rPr>
          <w:rFonts w:ascii="Calibri" w:hAnsi="Calibri"/>
          <w:b w:val="0"/>
          <w:i w:val="0"/>
          <w:color w:val="1A1A1A"/>
        </w:rPr>
        <w:t>AI-Assisted Content &amp; Optimization, Prompt Engineering, Workflow Automation</w:t>
      </w:r>
    </w:p>
    <w:p>
      <w:pPr>
        <w:spacing w:after="30"/>
      </w:pPr>
      <w:r>
        <w:rPr>
          <w:rFonts w:ascii="Calibri" w:hAnsi="Calibri"/>
          <w:b/>
          <w:i w:val="0"/>
          <w:color w:val="1A1A1A"/>
        </w:rPr>
        <w:t xml:space="preserve">Analytics:  </w:t>
      </w:r>
      <w:r>
        <w:rPr>
          <w:rFonts w:ascii="Calibri" w:hAnsi="Calibri"/>
          <w:b w:val="0"/>
          <w:i w:val="0"/>
          <w:color w:val="1A1A1A"/>
        </w:rPr>
        <w:t>GA4, Performance Dashboards, ROI/CAC/LTV Analysis, KPI Tracking</w:t>
      </w:r>
    </w:p>
    <w:p>
      <w:pPr>
        <w:spacing w:after="30"/>
      </w:pPr>
      <w:r>
        <w:rPr>
          <w:rFonts w:ascii="Calibri" w:hAnsi="Calibri"/>
          <w:b/>
          <w:i w:val="0"/>
          <w:color w:val="1A1A1A"/>
        </w:rPr>
        <w:t xml:space="preserve">Tools &amp; Platforms:  </w:t>
      </w:r>
      <w:r>
        <w:rPr>
          <w:rFonts w:ascii="Calibri" w:hAnsi="Calibri"/>
          <w:b w:val="0"/>
          <w:i w:val="0"/>
          <w:color w:val="1A1A1A"/>
        </w:rPr>
        <w:t>GoHighLevel (Primary), HubSpot, Salesforce, Notion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