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30, 2026</w:t>
      </w:r>
    </w:p>
    <w:p>
      <w:pPr>
        <w:spacing w:after="20"/>
      </w:pPr>
      <w:r>
        <w:rPr>
          <w:rFonts w:ascii="Calibri" w:hAnsi="Calibri"/>
          <w:b/>
          <w:color w:val="1A1A1A"/>
        </w:rPr>
        <w:t>Goodstack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Success Associate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Getting a nonprofit team to trust an AI tool with something as important as a grant application takes two things: a product that works and someone who helps them get to their first win quickly. That second part is the work I do best, and AgentPro is the kind of product I want to do it for. I care about organizations that serve people, and I've made a personal commitment to supporting immigrant and refugee communities.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Birdeye I onboarded and managed 15-20 reseller partners and retained all but one by watching usage data and stepping in on adoption gaps before they became churn. At Wix I onboarded 25+ clients a month and led a team of onboarding specialists. Today I build AI agents and automated workflows for my own clients, grade the AI output against rubrics before anyone relies on it, and then train clients to run the systems themselves. I haven't worked in grant writing, and I'd learn your delivery process from the specialists who do it; the job of keeping clients on track, deadlines visible, and escalations moving is one I know well.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a conversation about AgentPro and the customers you're growing. I'm available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