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Growth Marketer &amp; SEO Strategist | Technical SEO, Analytics &amp; B2B Conversion</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Growth marketer with 15+ years across agency, SaaS, and marketing operations, treating SEO as one lever inside a full-funnel conversion strategy rather than an isolated discipline. Runs technical SEO audits, keyword gap analysis, and competitor research in GA4, Search Console, Semrush, and Ahrefs, tracing performance shifts to their real cause. Comfortable owning client relationships directly and moving quickly across new industries.</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Conduct technical SEO audits, keyword gap analyses, and competitor research for B2B service clients, implementing fixes directly inside client CMS platforms.</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by cutting spam and low-quality leads, then diagnosed on-site conversion as the real bottleneck rather than treating a traffic or click improvement as the finish line - the same audit discipline a KPI-driven SEO engagement requires.</w:t>
      </w:r>
    </w:p>
    <w:p>
      <w:pPr>
        <w:spacing w:after="30"/>
        <w:ind w:left="259" w:hanging="259"/>
      </w:pPr>
      <w:r>
        <w:rPr>
          <w:rFonts w:ascii="Calibri" w:hAnsi="Calibri"/>
          <w:b w:val="0"/>
          <w:i w:val="0"/>
          <w:color w:val="163A5F"/>
        </w:rPr>
        <w:t xml:space="preserve">•  </w:t>
      </w:r>
      <w:r>
        <w:rPr>
          <w:rFonts w:ascii="Calibri" w:hAnsi="Calibri"/>
          <w:b w:val="0"/>
          <w:i w:val="0"/>
          <w:color w:val="1A1A1A"/>
        </w:rPr>
        <w:t>Track acquisition and performance in GA4 and Google Search Console across multiple concurrent accounts, using the data to drive experimentation rather than to produce a report.</w:t>
      </w:r>
    </w:p>
    <w:p>
      <w:pPr>
        <w:spacing w:after="30"/>
        <w:ind w:left="259" w:hanging="259"/>
      </w:pPr>
      <w:r>
        <w:rPr>
          <w:rFonts w:ascii="Calibri" w:hAnsi="Calibri"/>
          <w:b w:val="0"/>
          <w:i w:val="0"/>
          <w:color w:val="163A5F"/>
        </w:rPr>
        <w:t xml:space="preserve">•  </w:t>
      </w:r>
      <w:r>
        <w:rPr>
          <w:rFonts w:ascii="Calibri" w:hAnsi="Calibri"/>
          <w:b w:val="0"/>
          <w:i w:val="0"/>
          <w:color w:val="1A1A1A"/>
        </w:rPr>
        <w:t>Run discovery with business owners across varied verticals, quickly learning a new industry, its customers, and its competitive landscape before making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Report findings and recommendations directly to business-owner stakeholders on a regular cadence, translating technical SEO and analytics findings into plain-language business action.</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Google keyword research and search-term analysis to shape campaign targeting and organic content direction.</w:t>
      </w:r>
    </w:p>
    <w:p>
      <w:pPr>
        <w:spacing w:after="30"/>
        <w:ind w:left="259" w:hanging="259"/>
      </w:pPr>
      <w:r>
        <w:rPr>
          <w:rFonts w:ascii="Calibri" w:hAnsi="Calibri"/>
          <w:b w:val="0"/>
          <w:i w:val="0"/>
          <w:color w:val="163A5F"/>
        </w:rPr>
        <w:t xml:space="preserve">•  </w:t>
      </w:r>
      <w:r>
        <w:rPr>
          <w:rFonts w:ascii="Calibri" w:hAnsi="Calibri"/>
          <w:b w:val="0"/>
          <w:i w:val="0"/>
          <w:color w:val="1A1A1A"/>
        </w:rPr>
        <w:t>Built campaign performance reporting frameworks tracking ROI, CAC, LTV, and conversion KPIs, and translated results into strategic recommendations for client leadership.</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inbound marketing, and SEO best practices to improve client traffic and conversion.</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contributing to a 30% increase in website traffic and 25% improvement in conversion rates across the e-commerce segment.</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SEO &amp; Technical Analysis:  </w:t>
      </w:r>
      <w:r>
        <w:rPr>
          <w:rFonts w:ascii="Calibri" w:hAnsi="Calibri"/>
          <w:b w:val="0"/>
          <w:i w:val="0"/>
          <w:color w:val="1A1A1A"/>
        </w:rPr>
        <w:t>Technical SEO Audits, Keyword Gap Analysis, Competitor Research, On-Page &amp; Site Architecture Review</w:t>
      </w:r>
    </w:p>
    <w:p>
      <w:pPr>
        <w:spacing w:after="30"/>
      </w:pPr>
      <w:r>
        <w:rPr>
          <w:rFonts w:ascii="Calibri" w:hAnsi="Calibri"/>
          <w:b/>
          <w:i w:val="0"/>
          <w:color w:val="1A1A1A"/>
        </w:rPr>
        <w:t xml:space="preserve">Analytics &amp; Diagnostic Tools:  </w:t>
      </w:r>
      <w:r>
        <w:rPr>
          <w:rFonts w:ascii="Calibri" w:hAnsi="Calibri"/>
          <w:b w:val="0"/>
          <w:i w:val="0"/>
          <w:color w:val="1A1A1A"/>
        </w:rPr>
        <w:t>GA4, Google Search Console, Semrush, Ahrefs, Conversion &amp; Funnel Analysis</w:t>
      </w:r>
    </w:p>
    <w:p>
      <w:pPr>
        <w:spacing w:after="30"/>
      </w:pPr>
      <w:r>
        <w:rPr>
          <w:rFonts w:ascii="Calibri" w:hAnsi="Calibri"/>
          <w:b/>
          <w:i w:val="0"/>
          <w:color w:val="1A1A1A"/>
        </w:rPr>
        <w:t xml:space="preserve">Growth &amp; Client Work:  </w:t>
      </w:r>
      <w:r>
        <w:rPr>
          <w:rFonts w:ascii="Calibri" w:hAnsi="Calibri"/>
          <w:b w:val="0"/>
          <w:i w:val="0"/>
          <w:color w:val="1A1A1A"/>
        </w:rPr>
        <w:t>B2B Demand Generation, Full-Funnel Strategy, Paid Media, Landing Pages &amp; CRO, Client-Facing Reporting</w:t>
      </w:r>
    </w:p>
    <w:p>
      <w:pPr>
        <w:spacing w:after="30"/>
      </w:pPr>
      <w:r>
        <w:rPr>
          <w:rFonts w:ascii="Calibri" w:hAnsi="Calibri"/>
          <w:b/>
          <w:i w:val="0"/>
          <w:color w:val="1A1A1A"/>
        </w:rPr>
        <w:t xml:space="preserve">Systems:  </w:t>
      </w:r>
      <w:r>
        <w:rPr>
          <w:rFonts w:ascii="Calibri" w:hAnsi="Calibri"/>
          <w:b w:val="0"/>
          <w:i w:val="0"/>
          <w:color w:val="1A1A1A"/>
        </w:rPr>
        <w:t>HubSpot, Salesforce, GoHighLevel</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(Sept 2024)</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