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Aaron Rotenberg</w:t>
      </w:r>
    </w:p>
    <w:p>
      <w:pPr>
        <w:spacing w:after="200"/>
        <w:jc w:val="center"/>
      </w:pPr>
      <w:r>
        <w:rPr>
          <w:rFonts w:ascii="Calibri" w:hAnsi="Calibri"/>
          <w:b w:val="0"/>
          <w:color w:val="555555"/>
          <w:sz w:val="18"/>
        </w:rPr>
        <w:t>Arvada, CO  •  303-726-5037  •  jrotnbrg@gmail.com  •  linkedin.com/in/joshua-rotenberg</w:t>
      </w:r>
    </w:p>
    <w:p>
      <w:pPr>
        <w:spacing w:after="120"/>
      </w:pPr>
      <w:r>
        <w:rPr>
          <w:rFonts w:ascii="Calibri" w:hAnsi="Calibri"/>
          <w:b w:val="0"/>
          <w:color w:val="1A1A1A"/>
        </w:rPr>
        <w:t>September 18, 2026</w:t>
      </w:r>
    </w:p>
    <w:p>
      <w:pPr>
        <w:spacing w:after="20"/>
      </w:pPr>
      <w:r>
        <w:rPr>
          <w:rFonts w:ascii="Calibri" w:hAnsi="Calibri"/>
          <w:b/>
          <w:color w:val="1A1A1A"/>
        </w:rPr>
        <w:t>Xero</w:t>
      </w:r>
    </w:p>
    <w:p>
      <w:pPr>
        <w:spacing w:after="160"/>
      </w:pPr>
      <w:r>
        <w:rPr>
          <w:rFonts w:ascii="Calibri" w:hAnsi="Calibri"/>
          <w:b w:val="0"/>
          <w:color w:val="1A1A1A"/>
        </w:rPr>
        <w:t>Re: Marketing Manager, North America</w:t>
      </w:r>
    </w:p>
    <w:p>
      <w:pPr>
        <w:spacing w:after="160"/>
      </w:pPr>
      <w:r>
        <w:rPr>
          <w:rFonts w:ascii="Calibri" w:hAnsi="Calibri"/>
          <w:b w:val="0"/>
          <w:color w:val="1A1A1A"/>
        </w:rPr>
        <w:t>Dear Hiring Team,</w:t>
      </w:r>
    </w:p>
    <w:p>
      <w:pPr>
        <w:spacing w:after="160"/>
      </w:pPr>
      <w:r>
        <w:rPr>
          <w:rFonts w:ascii="Calibri" w:hAnsi="Calibri"/>
          <w:b w:val="0"/>
          <w:color w:val="1A1A1A"/>
        </w:rPr>
        <w:t>Xero's Partner Marketing team is running campaigns that have to work on two fronts at once, get accounting and bookkeeping partners to show up, then prove it in the pipeline afterward. That has been my job for 15 years, and the Denver hybrid setup means I would be doing it from home turf.</w:t>
      </w:r>
    </w:p>
    <w:p>
      <w:pPr>
        <w:spacing w:after="160"/>
      </w:pPr>
      <w:r>
        <w:rPr>
          <w:rFonts w:ascii="Calibri" w:hAnsi="Calibri"/>
          <w:b w:val="0"/>
          <w:color w:val="1A1A1A"/>
        </w:rPr>
        <w:t>At Birdeye I ran partner marketing directly, onboarding and training 15 to 20 reseller partners across health, home services, and retail, and retaining all but one. At Level Agency I built the reporting frameworks (ROI, CAC, LTV) and ran the QBRs that kept paid and content campaigns accountable, and A/B-tested LinkedIn campaigns using an account-based approach. At Solenzo I now architect the CRM and marketing-automation systems (GoHighLevel, HubSpot) behind full-funnel campaigns, from segmentation through lifecycle nurture and dashboard reporting, and I use Salesforce hands-on from two prior SaaS roles.</w:t>
      </w:r>
    </w:p>
    <w:p>
      <w:pPr>
        <w:spacing w:after="160"/>
      </w:pPr>
      <w:r>
        <w:rPr>
          <w:rFonts w:ascii="Calibri" w:hAnsi="Calibri"/>
          <w:b w:val="0"/>
          <w:color w:val="1A1A1A"/>
        </w:rPr>
        <w:t>I have not run event promotions measured specifically on registrations and attendance, and I want to say that plainly. What I bring is the segmentation, reporting, and cross-functional coordination that make an event campaign work once it is built, and I would pick up the event-specific playbook fast. I would welcome the chance to talk through how I would approach the AB Bulletin or an upcoming partner event.</w:t>
      </w:r>
    </w:p>
    <w:p>
      <w:pPr>
        <w:spacing w:after="280"/>
      </w:pPr>
      <w:r>
        <w:rPr>
          <w:rFonts w:ascii="Calibri" w:hAnsi="Calibri"/>
          <w:b w:val="0"/>
          <w:color w:val="1A1A1A"/>
        </w:rPr>
        <w:t>Sincerely,</w:t>
      </w:r>
    </w:p>
    <w:p>
      <w:pPr>
        <w:spacing w:after="160"/>
      </w:pPr>
      <w:r>
        <w:rPr>
          <w:rFonts w:ascii="Calibri" w:hAnsi="Calibri"/>
          <w:b w:val="0"/>
          <w:color w:val="1A1A1A"/>
        </w:rPr>
        <w:t>Joshua Aaron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