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20, 2026</w:t>
      </w:r>
    </w:p>
    <w:p>
      <w:pPr>
        <w:spacing w:after="20"/>
      </w:pPr>
      <w:r>
        <w:rPr>
          <w:rFonts w:ascii="Calibri" w:hAnsi="Calibri"/>
          <w:b/>
          <w:color w:val="1A1A1A"/>
        </w:rPr>
        <w:t>Wrike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Manager L4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Aziza,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sold and scoped a work-management and CRM/PSA platform directly comparable to Wrike, to agencies and professional-services firms, the exact ICP your standout qualifications call out. I ranked top three in sales on a team that scaled from 8 to 15 reps, holding that rank through a 27-month tenure while quota roughly doubled.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strength is expansion within an existing relationship, not cold outbound. At Solenzo, I identify and scope retainer growth inside accounts I already own. At Level Agency, I personally sold and closed two accounts into six-figure annual contract value by expanding what they already trusted me to run. At Birdeye, I retained all but one of 15 to 20 partner accounts by staying close to their health metrics and advising on retention before it became a problem. That is the same motion this role describes: uncovering expansion inside a portfolio of accounts that already have a relationship with the product, not prospecting cold logos.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 not have formal training in Challenger, MEDDIC, or Solution Selling specifically, but the underlying discipline, consultative discovery, tying the ask to a real business outcome, and closing, is the same work I have done for 15 years. I would welcome the chance to talk through how that applies to Wrike's commercial book.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