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29,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Colorado Community College System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Internal Communications Manager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Committee,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Getting thirteen colleges to understand not just what is changing but why, and what it means for their own work, is a translation problem. That is the work I've done for most of my career: taking a complex system or change and turning it into something a specific audience can act on. I come from a family of educators, and my wife is a vice principal at an elementary school, so I've heard for years how change lands on the people who have to carry it out.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haven't held an internal communications title, and I want to be direct about that. What I bring is closely related. At Wix I led a team of 20 (later 8) through a new business line's buildout, training new hires and building sales training for tenured account executives. At Birdeye I built the communication workflows and automated training that brought a diverse partner network onto new tools, and kept all but one of them. Today I write newsletters, guides, and thought leadership for business audiences, run multi-step email programs, and measure what people actually read and act on. I work well with executives, and I'm good at turning a loosely stated intent into a message and a toolkit a manager can use the next morning.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based in Arvada and would welcome the chance to talk about how I could support the Transformation Communications Framework. I'm available at 303-726-5037 or jrotnbrg@gmail.com.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