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Communications &amp; Change Adoption | Clear Writing, Multi-Channel Campaigns &amp; Leader Enablement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Communicator and operator with 15+ years translating complex systems and changes into clear, audience-specific messages that people act on. Writes newsletters, guides, and thought leadership for B2B audiences; builds and measures multi-channel email campaigns; and has led teams through new processes and tools, including two years training and leading a team of 20 (later 8) at Wix and rolling out automated training programs at Birdeye. Works directly with executives and turns loosely defined intent into precise, usable guidance.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Write and publish thought leadership, newsletters, and educational guides that explain systems and operational change to non-technical business audiences.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Translate stakeholders' loosely defined ideas and feedback into precise, structured messaging and instructions.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and run segmented, multi-step email programs, tracking engagement and conversion in GA4 and the CRM and adjusting content based on results.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integrated inbound, paid, and content strategies as strategic lead,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Presented performance findings and recommendations to client leadership in quarterly business reviews.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communication workflows and automated training sequences that brought a diverse network of 15-20 partners onto new tools, retaining all but one (~94%).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Equipped partners with messaging and talking points to explain product value to their own customers.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the sales team and built internal processes that strengthened cross-team alignment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and developed a team of onboarding specialists for two years (20, later 8), including hiring, onboarding, and training new team members.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sales training for tenured account executives, and drove team initiatives that took a new vertical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C-suite leaders at agencies and professional-services firms on adopting new operational systems, and escalated risks to leadership early.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Communications:  </w:t>
      </w:r>
      <w:r>
        <w:rPr>
          <w:rFonts w:ascii="Times New Roman" w:hAnsi="Times New Roman"/>
          <w:b w:val="0"/>
          <w:i w:val="0"/>
          <w:color w:val="1A1A1A"/>
        </w:rPr>
        <w:t>Audience-Centered Writing &amp; Editing, Newsletters, Guides &amp; Long-Form Content, Change Adoption &amp; Training Programs, Executive Presentations &amp; Talking Points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Channels &amp; Measurement:  </w:t>
      </w:r>
      <w:r>
        <w:rPr>
          <w:rFonts w:ascii="Times New Roman" w:hAnsi="Times New Roman"/>
          <w:b w:val="0"/>
          <w:i w:val="0"/>
          <w:color w:val="1A1A1A"/>
        </w:rPr>
        <w:t>Email Marketing (Mailchimp, Marketo, HubSpot), Slack, Notion, Google Workspace, Google Analytics (GA4), Email Analytics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