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Growth Marketer &amp; SEO Strategist | Technical SEO, Analytics &amp; B2B Conversion</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Growth marketer with 15+ years across agency, SaaS, and marketing operations, treating SEO as one lever inside a full-funnel conversion strategy rather than an isolated discipline. Runs technical SEO audits, keyword gap analysis, and competitor research in GA4, Search Console, Semrush, and Ahrefs, tracing performance shifts to their real cause. Comfortable owning client relationships directly and moving quickly across new industries.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for B2B service clients, implementing fixes directly inside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Optimized a client's Google Ads account by cutting spam and low-quality leads, then diagnosed on-site conversion as the real bottleneck rather than treating a traffic or click improvement as the finish line - the same audit discipline a KPI-driven SEO engagement requires.</w:t>
      </w:r>
    </w:p>
    <w:p>
      <w:pPr>
        <w:spacing w:after="30"/>
        <w:ind w:left="259" w:hanging="259"/>
      </w:pPr>
      <w:r>
        <w:rPr>
          <w:rFonts w:ascii="Calibri" w:hAnsi="Calibri"/>
          <w:b w:val="0"/>
          <w:i w:val="0"/>
          <w:color w:val="163A5F"/>
        </w:rPr>
        <w:t xml:space="preserve">•  </w:t>
      </w:r>
      <w:r>
        <w:rPr>
          <w:rFonts w:ascii="Calibri" w:hAnsi="Calibri"/>
          <w:b w:val="0"/>
          <w:i w:val="0"/>
          <w:color w:val="1A1A1A"/>
        </w:rPr>
        <w:t>Track acquisition and performance in GA4 and Google Search Console across multiple concurrent accounts, using the data to drive experimentation rather than to produce a report.</w:t>
      </w:r>
    </w:p>
    <w:p>
      <w:pPr>
        <w:spacing w:after="30"/>
        <w:ind w:left="259" w:hanging="259"/>
      </w:pPr>
      <w:r>
        <w:rPr>
          <w:rFonts w:ascii="Calibri" w:hAnsi="Calibri"/>
          <w:b w:val="0"/>
          <w:i w:val="0"/>
          <w:color w:val="163A5F"/>
        </w:rPr>
        <w:t xml:space="preserve">•  </w:t>
      </w:r>
      <w:r>
        <w:rPr>
          <w:rFonts w:ascii="Calibri" w:hAnsi="Calibri"/>
          <w:b w:val="0"/>
          <w:i w:val="0"/>
          <w:color w:val="1A1A1A"/>
        </w:rPr>
        <w:t>Run discovery with business owners across varied verticals, quickly learning a new industry, its customers, and its competitive landscape before making recommendations.</w:t>
      </w:r>
    </w:p>
    <w:p>
      <w:pPr>
        <w:spacing w:after="30"/>
        <w:ind w:left="259" w:hanging="259"/>
      </w:pPr>
      <w:r>
        <w:rPr>
          <w:rFonts w:ascii="Calibri" w:hAnsi="Calibri"/>
          <w:b w:val="0"/>
          <w:i w:val="0"/>
          <w:color w:val="163A5F"/>
        </w:rPr>
        <w:t xml:space="preserve">•  </w:t>
      </w:r>
      <w:r>
        <w:rPr>
          <w:rFonts w:ascii="Calibri" w:hAnsi="Calibri"/>
          <w:b w:val="0"/>
          <w:i w:val="0"/>
          <w:color w:val="1A1A1A"/>
        </w:rPr>
        <w:t>Report findings and recommendations directly to business-owner stakeholders on a regular cadence, translating technical SEO and analytics findings into plain-language business action.</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Google keyword research and search-term analysis to shape campaign targeting and organic content direction.</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and translated results into strategic recommendations for client leadership.</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client traffic and conversion.</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SEO &amp; Technical Analysis:  </w:t>
      </w:r>
      <w:r>
        <w:rPr>
          <w:rFonts w:ascii="Calibri" w:hAnsi="Calibri"/>
          <w:b w:val="0"/>
          <w:i w:val="0"/>
          <w:color w:val="1A1A1A"/>
        </w:rPr>
        <w:t>Technical SEO Audits, Keyword Gap Analysis, Competitor Research, On-Page &amp; Site Architecture Review</w:t>
      </w:r>
    </w:p>
    <w:p>
      <w:pPr>
        <w:spacing w:after="30"/>
      </w:pPr>
      <w:r>
        <w:rPr>
          <w:rFonts w:ascii="Calibri" w:hAnsi="Calibri"/>
          <w:b/>
          <w:i w:val="0"/>
          <w:color w:val="1A1A1A"/>
        </w:rPr>
        <w:t xml:space="preserve">Analytics &amp; Diagnostic Tools:  </w:t>
      </w:r>
      <w:r>
        <w:rPr>
          <w:rFonts w:ascii="Calibri" w:hAnsi="Calibri"/>
          <w:b w:val="0"/>
          <w:i w:val="0"/>
          <w:color w:val="1A1A1A"/>
        </w:rPr>
        <w:t>GA4, Google Search Console, Semrush, Ahrefs, Conversion &amp; Funnel Analysis</w:t>
      </w:r>
    </w:p>
    <w:p>
      <w:pPr>
        <w:spacing w:after="30"/>
      </w:pPr>
      <w:r>
        <w:rPr>
          <w:rFonts w:ascii="Calibri" w:hAnsi="Calibri"/>
          <w:b/>
          <w:i w:val="0"/>
          <w:color w:val="1A1A1A"/>
        </w:rPr>
        <w:t xml:space="preserve">Growth &amp; Client Work:  </w:t>
      </w:r>
      <w:r>
        <w:rPr>
          <w:rFonts w:ascii="Calibri" w:hAnsi="Calibri"/>
          <w:b w:val="0"/>
          <w:i w:val="0"/>
          <w:color w:val="1A1A1A"/>
        </w:rPr>
        <w:t>B2B Demand Generation, Full-Funnel Strategy, Paid Media, Landing Pages &amp; CRO, Client-Facing Reporting</w:t>
      </w:r>
    </w:p>
    <w:p>
      <w:pPr>
        <w:spacing w:after="30"/>
      </w:pPr>
      <w:r>
        <w:rPr>
          <w:rFonts w:ascii="Calibri" w:hAnsi="Calibri"/>
          <w:b/>
          <w:i w:val="0"/>
          <w:color w:val="1A1A1A"/>
        </w:rPr>
        <w:t xml:space="preserve">Systems:  </w:t>
      </w:r>
      <w:r>
        <w:rPr>
          <w:rFonts w:ascii="Calibri" w:hAnsi="Calibri"/>
          <w:b w:val="0"/>
          <w:i w:val="0"/>
          <w:color w:val="1A1A1A"/>
        </w:rPr>
        <w:t>HubSpot, Salesforce, GoHighLevel</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