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Compound Growth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Analyst/Strategist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SEO Analyst/Strategist role. Your framing, a growth marketer first and an SEO specialist second, is exactly how I approach it. At Solenzo I run technical SEO audits, keyword gap analyses, and competitor research for B2B service clients, but the useful part of that work is deciding which finding actually moves a business metric. On one client's Google Ads account, I cut the low-quality leads out of targeting, then traced the remaining problem to the site's conversion path rather than calling a click-quality improvement a win. That is the same instinct your posting describes: prioritizing what actually affects demos requested or trials started over a ranking number that looks good in isolation.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work daily in GA4, Google Search Console, Semrush, and Ahrefs, and I'm comfortable picking up a new tool quickly rather than needing every one I'll use named in advance. I also run discovery directly with business owners across varied industries at Solenzo, which is the same muscle as taking on a new client and needing to understand their business fast. At Level Agency I built the reporting frameworks tracking ROI, CAC, and conversion KPIs that shaped both paid and organic direction for client accounts.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one gap: I haven't used Screaming Frog or Clearscope specifically, though I've done the crawl-and-content-gap work they're built for using other tools. I'm available for the part-time hours described and would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