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Strategist — SEO, Analytics &amp; AI-Driven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strategist with 15+ years across agency and SaaS environments, blending hands-on technical SEO work — audits, keyword gap analysis, competitor research, on-site fixes — with hands-on experience building AI-driven marketing systems and LLM-based workflows. Track GA4 and CRM analytics to drive reporting and experimentation, and translate technical recommendations into clear guidance for both engineering and business stakeholders. Comfortable as the client-facing strategist on complex, multi-stakeholder accounts, and have mentored and developed team members throughout my career.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Conduct technical SEO audits, keyword gap analyses, and competitor research, implementing fixes directly inside client CMS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 —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Track acquisition and retention across multiple accounts using GA4 and CRM analytics, delivering reporting that drives experimentation and growth.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marketing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service-based businesses, automating lead enrichment, outreach, and appointment booking.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 and market challenges.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–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integrated digital marketing strategies across inbound, paid media, and content, acting as strategic lead and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— landing pages, complex email sequences, conversion-focused copy —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–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portfolio, and helped develop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15–20 reseller partners,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–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–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Escalated issues to leadership early and mitigated account-level risk with direct strategic guidance.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Technical SEO:  </w:t>
      </w:r>
      <w:r>
        <w:rPr>
          <w:rFonts w:ascii="Calibri" w:hAnsi="Calibri"/>
          <w:b w:val="0"/>
          <w:i w:val="0"/>
          <w:color w:val="1A1A1A"/>
        </w:rPr>
        <w:t>Technical SEO Audits, Keyword Gap Analysis, Competitor Research, Site Architecture, On-Page Fixes, CMS Implementation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Analytics &amp; Reporting:  </w:t>
      </w:r>
      <w:r>
        <w:rPr>
          <w:rFonts w:ascii="Calibri" w:hAnsi="Calibri"/>
          <w:b w:val="0"/>
          <w:i w:val="0"/>
          <w:color w:val="1A1A1A"/>
        </w:rPr>
        <w:t>GA4, Google Search Console, Ahrefs, Semrush, Campaign Attribution, ROI Dashboards,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LLM Workflows, ChatGPT, Claude, Prompt Design, Requirements-to-Prompt Translation, Agentic Workflow Architecture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Strategy:  </w:t>
      </w:r>
      <w:r>
        <w:rPr>
          <w:rFonts w:ascii="Calibri" w:hAnsi="Calibri"/>
          <w:b w:val="0"/>
          <w:i w:val="0"/>
          <w:color w:val="1A1A1A"/>
        </w:rPr>
        <w:t>Enterprise Client Advisory, Cross-Functional Stakeholder Management, Executive Presentations, Technical-to-Business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Systems:  </w:t>
      </w:r>
      <w:r>
        <w:rPr>
          <w:rFonts w:ascii="Calibri" w:hAnsi="Calibri"/>
          <w:b w:val="0"/>
          <w:i w:val="0"/>
          <w:color w:val="1A1A1A"/>
        </w:rPr>
        <w:t>GoHighLevel, HubSpot, Salesforce, Workflow Design, Data Hygiene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