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Modern Family Law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SEO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Hey there,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Good news and less-good news up front. I've got real SEO experience, technical audits, keyword and competitor research, site-architecture work, spread across the last several years and multiple roles. Less-good news: it's mostly been multi-client agency SEO, one site per client, not multi-location SEO for a single brand across 15 markets. If that specific experience is a hard filter, I probably don't clear it clean, and I'd rather say that now.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do bring: I live in GA4, Search Console, and Ahrefs day to day, I've used HubSpot connected to Salesforce, and I'm used to tying SEO work to a number a business actually cares about, not just rankings. At Wix, the SEO-informed work I did across a client portfolio contributed to a 30% traffic increase and 25% conversion lift across the segment I supported. At Solenzo, that same audit-to-fix loop is what I run for clients today.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If you're open to someone strong on the analytics and business-outcome side who'd need to build depth on the local/multi-market and migration side, I'd like to talk. If the multi-location requirement is truly non-negotiable, I understand, and appreciate you reading this far.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Thanks,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