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Senior SEO Specialist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SEO and digital marketing professional with 15+ years running technical SEO audits, keyword and competitor research, and site-architecture strategy for B2B and SMB clients, tied directly to measurable business outcomes. At Wix, SEO-informed growth consultations contributed to a 30% increase in website traffic and 25% improvement in conversion rates across the e-commerce segment; at Solenzo, ongoing technical SEO and keyword-gap work runs alongside CRM and marketing-automation systems built in HubSpot and Salesforce-connected platforms. Comfortable using GA4, Google Search Console, and Ahrefs to diagnose performance and translate findings into a prioritized content and technical roadmap.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audits, keyword-gap analyses, and competitor research, implementing fixes directly inside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CRM and automation systems (GoHighLevel, HubSpot) with contact segmentation and lifecycle stages, connecting marketing activity to measurable outcomes.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strategic recommendations, tracking client-level KPIs across platform adoption and account health.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goals into precise system configurations and workflows, bridging business intent and technical execution.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Google keyword research and search-term analysis to shape campaign targeting and content direction.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content, coordinating execution across internal departments.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budgets, scope, and delivery for a high-value client portfolio.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partners, retaining roughly 94% during tenure.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at a performance marketing agency, translating results into optimization recommendations across paid media and creative.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reporting processes that improved accuracy and reduced handoff errors.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resolving technical challenges during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loyalty and marketing automation platform targeting SMBs, from prospecting through customer acquisition.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SEO &amp; Content:  </w:t>
      </w:r>
      <w:r>
        <w:rPr>
          <w:rFonts w:ascii="Calibri" w:hAnsi="Calibri"/>
          <w:b w:val="0"/>
          <w:i w:val="0"/>
          <w:color w:val="1A1A1A"/>
        </w:rPr>
        <w:t>Technical SEO Audits, Keyword &amp; Gap Analysis, Competitor Research, Site Architecture Consultation, Content Strategy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Measurement:  </w:t>
      </w:r>
      <w:r>
        <w:rPr>
          <w:rFonts w:ascii="Calibri" w:hAnsi="Calibri"/>
          <w:b w:val="0"/>
          <w:i w:val="0"/>
          <w:color w:val="1A1A1A"/>
        </w:rPr>
        <w:t>GA4, Google Search Console, Ahrefs, Campaign Attribution, KPI Tracking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Marketing Systems:  </w:t>
      </w:r>
      <w:r>
        <w:rPr>
          <w:rFonts w:ascii="Calibri" w:hAnsi="Calibri"/>
          <w:b w:val="0"/>
          <w:i w:val="0"/>
          <w:color w:val="1A1A1A"/>
        </w:rPr>
        <w:t>HubSpot, Salesforce, GoHighLevel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 Collaboration:  </w:t>
      </w:r>
      <w:r>
        <w:rPr>
          <w:rFonts w:ascii="Calibri" w:hAnsi="Calibri"/>
          <w:b w:val="0"/>
          <w:i w:val="0"/>
          <w:color w:val="1A1A1A"/>
        </w:rPr>
        <w:t>Stakeholder Translation, Technical-to-Business Communication, Cross-Team Coordination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