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SEO &amp; AEO Specialist | Local SEO &amp; Google Business Profile, Technical SEO, AI Answer Visibility, GA4</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SEO and AEO practitioner (4 years of SEO) covering traditional search and AI answers. Optimizes Google Business Profile for every client, runs technical audits in Screaming Frog, and ships fixes in HTML/CSS and client CMS platforms. Built a 9-dimension audit framework that includes GEO/AI visibility, has published 18 articles on how Google's AI features and ChatGPT choose which businesses to surface, and reports with GA4, Search Console, Ahrefs, and Semrush.</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AI Visibility &amp; Technical SEO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Claim, verify, and optimize Google Business Profile listings (categories, services, photos, posts) for every client as the foundation of local SEO, managing multiple business entities.</w:t>
      </w:r>
    </w:p>
    <w:p>
      <w:pPr>
        <w:spacing w:after="30"/>
        <w:ind w:left="259" w:hanging="259"/>
      </w:pPr>
      <w:r>
        <w:rPr>
          <w:rFonts w:ascii="Calibri" w:hAnsi="Calibri"/>
          <w:b w:val="0"/>
          <w:i w:val="0"/>
          <w:color w:val="163A5F"/>
        </w:rPr>
        <w:t xml:space="preserve">•  </w:t>
      </w:r>
      <w:r>
        <w:rPr>
          <w:rFonts w:ascii="Calibri" w:hAnsi="Calibri"/>
          <w:b w:val="0"/>
          <w:i w:val="0"/>
          <w:color w:val="1A1A1A"/>
        </w:rPr>
        <w:t>Run technical SEO audits, keyword gap analyses, and competitor research with Screaming Frog, Ahrefs, and Semrush, and ship on-page fixes, metadata, and full schema markup directly in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Designed a 9-dimension audit framework including GEO/AI visibility, with automated scoring and rubric-based evaluation; the audit enrolled 180+ businesses.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low-quality leads and improve click-through quality.</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with GA4, Google Search Console, and Power BI, and build sites in HTML/CSS with GTM on every site.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keyword and search-term analysis across concurrent agency clients and presented performance reporting to client leadership.</w:t>
      </w:r>
    </w:p>
    <w:p>
      <w:pPr>
        <w:tabs>
          <w:tab w:pos="10512" w:val="right"/>
        </w:tabs>
        <w:spacing w:before="80" w:after="20"/>
      </w:pPr>
      <w:r>
        <w:rPr>
          <w:rFonts w:ascii="Calibri" w:hAnsi="Calibri"/>
          <w:b/>
          <w:i w:val="0"/>
          <w:color w:val="1A1A1A"/>
          <w:sz w:val="21"/>
        </w:rPr>
        <w:t>Local Search &amp; Listings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partners on Birdeye's data-aggregator and listings-syndication solution, keeping business listings consistent across directories for local search; ~94% partner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performance at a performance marketing agency and recommended optimizations.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Advised small businesses on site architecture, SEO, and Google Business Profile, contributing to a 30% traffic increase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SEO &amp; AEO:  </w:t>
      </w:r>
      <w:r>
        <w:rPr>
          <w:rFonts w:ascii="Calibri" w:hAnsi="Calibri"/>
          <w:b w:val="0"/>
          <w:i w:val="0"/>
          <w:color w:val="1A1A1A"/>
        </w:rPr>
        <w:t>Local SEO &amp; Google Business Profile, Technical SEO, On-Page &amp; Metadata Optimization, Keyword &amp; Competitive Research, AEO / GEO Testing, Schema Markup</w:t>
      </w:r>
    </w:p>
    <w:p>
      <w:pPr>
        <w:spacing w:after="30"/>
      </w:pPr>
      <w:r>
        <w:rPr>
          <w:rFonts w:ascii="Calibri" w:hAnsi="Calibri"/>
          <w:b/>
          <w:i w:val="0"/>
          <w:color w:val="1A1A1A"/>
        </w:rPr>
        <w:t xml:space="preserve">Tools:  </w:t>
      </w:r>
      <w:r>
        <w:rPr>
          <w:rFonts w:ascii="Calibri" w:hAnsi="Calibri"/>
          <w:b w:val="0"/>
          <w:i w:val="0"/>
          <w:color w:val="1A1A1A"/>
        </w:rPr>
        <w:t>GA4, Google Search Console, Screaming Frog, Ahrefs, Semrush, Google Ads, GTM, HTML/CSS, CMS Platforms, Power BI, Excel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