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July 24, 2026</w:t>
      </w:r>
    </w:p>
    <w:p>
      <w:pPr>
        <w:spacing w:after="20"/>
      </w:pPr>
      <w:r>
        <w:rPr>
          <w:rFonts w:ascii="Calibri" w:hAnsi="Calibri"/>
          <w:b/>
          <w:color w:val="1A1A1A"/>
        </w:rPr>
        <w:t>Kraken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Growth Workflow Specialist, Organic Growth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Growth Workflow Specialist role. This one sits exactly where I already work: technical SEO on one side, AI agents and workflow automation on the other. Taking what a strategist knows and making it run at scale through automation is the core of what I do every day.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Here is how that maps to your engine. I run technical SEO audits, keyword and competitor gap analysis, and CMS fixes, and I build the LLM-driven agents that turn that signal into content, then QA the output for accuracy and brand fit before it ships. I think in systems, I map a workflow as triggers, decisions, actions, and measurements, and I write the specs precisely enough for a build team to implement without guessing. I've shipped 20+ end-to-end automations that run continuously, and I design the evaluation loops that keep agent output reliable, which is exactly the QA and knowledge-base work this role calls for.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AEO is new ground for everyone, and that's the part I find most interesting. Optimizing for an intelligence rather than a crawler is a systems and prompting problem, and building the monitoring and response workflows around LLM visibility is squarely the kind of thing I like to build. I'd welcome the conversation.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Thank you for your time and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