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Growth Workflow &amp; Automation Specialist · Technical SEO/AEO + AI Agents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Growth systems builder who turns SEO and content strategy into automated workflows. I combine hands-on technical SEO (audits, keyword and competitor gap analysis, CMS fixes) with deep AI/agent experience, breaking a content engine into triggers, decisions, actions, and measurements, then building the LLM-driven workflows that run it at scale. I translate strategy into precise specs, build the agents that generate and QA content, and design the evaluation loops that keep output accurate and on-brand.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AI / Growth Automation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run automated growth workflows end to end, from signal ingestion to content generation to CMS deployment, mapping each as triggers, decisions, actions, and measurements.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and competitor gap analyses, and search-signal research,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LLM-driven agents that generate content and outreach from structured briefs, translating loosely-formed strategy into precise prompts and agent instructions.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QA agent outputs for accuracy and brand alignment, and design self-improving evaluation loops that monitor quality and continuously optimize.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 the content rules, standards, and knowledge-base inputs that agents operate from, documenting specs clear enough for others to build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organic and funnel performance in GA4 and Search Console, defining what each workflow should optimize for.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Deployed 20+ segmented content and outreach automations that run continuously at scale without manual effort.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content and SEO-informed campaign strategy across channels, coordinating execution and translating performance data into optimization.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content briefs and conversion-focused assets, and built reporting frameworks tracking organic and funnel KPIs.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clear specs and documentation that aligned cross-functional teams around the 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Interpreted organic and campaign data to prioritize content and optimization work.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Automation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communication and content-training workflows that scaled across a high-volume partner base.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performance data to flag gaps and define what automated interventions should optimize for.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Engineering, channeling structured feedback to improve systems.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Documented product and content standards so training and messaging stayed consistent at scale.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content and campaign performance, translating signal into optimization and content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and templates that improved production accuracy and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Documented reporting workflows so they could be handed off and repeated reliably.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content, and SEO best practices to lift organic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30% increase in website traffic and 25% improvement in conversion across the e-commerce segment through hands-on optimization.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repeatable, documented workflows for a team managing high-volume site launches.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Applied SEO and content best practices across a high-volume portfolio to grow organic visibility.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Scoped and implemented workflow-automation software, mapping processes into triggers, actions, and integrations for client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API integrations and system design, connecting data sources into end-to-end automated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structuring tools and data for measurable, repeatable operations.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operational and reporting systems from scratch in a highly regulated environment where content and process compliance were mandatory.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Codified standards and repeatable workflows to keep a fast-scaling operation accurate and audit-ready.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AEO:  </w:t>
      </w:r>
      <w:r>
        <w:rPr>
          <w:rFonts w:ascii="Calibri" w:hAnsi="Calibri"/>
          <w:b w:val="0"/>
          <w:i w:val="0"/>
          <w:color w:val="1A1A1A"/>
        </w:rPr>
        <w:t>Technical SEO, Crawling / Indexing / Ranking, Keyword &amp; Competitor Gap Analysis, AEO / LLM Visibility, Ahrefs, Semrush, Google Search Console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Workflow Automation:  </w:t>
      </w:r>
      <w:r>
        <w:rPr>
          <w:rFonts w:ascii="Calibri" w:hAnsi="Calibri"/>
          <w:b w:val="0"/>
          <w:i w:val="0"/>
          <w:color w:val="1A1A1A"/>
        </w:rPr>
        <w:t>Systems Thinking, Workflow Design (Triggers / Decisions / Actions), No-code Orchestration, GoHighLevel, Process Decomposition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Content Agents:  </w:t>
      </w:r>
      <w:r>
        <w:rPr>
          <w:rFonts w:ascii="Calibri" w:hAnsi="Calibri"/>
          <w:b w:val="0"/>
          <w:i w:val="0"/>
          <w:color w:val="1A1A1A"/>
        </w:rPr>
        <w:t>LLM Workflows, AI Content Generation, Prompt Design, LLM APIs, Content QA, Evaluation Frameworks, Knowledge-base Inputs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Operations:  </w:t>
      </w:r>
      <w:r>
        <w:rPr>
          <w:rFonts w:ascii="Calibri" w:hAnsi="Calibri"/>
          <w:b w:val="0"/>
          <w:i w:val="0"/>
          <w:color w:val="1A1A1A"/>
        </w:rPr>
        <w:t>CMS Management, Content Brief Generation, Content Deployment Pipelines, Editorial Standards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Communication:  </w:t>
      </w:r>
      <w:r>
        <w:rPr>
          <w:rFonts w:ascii="Calibri" w:hAnsi="Calibri"/>
          <w:b w:val="0"/>
          <w:i w:val="0"/>
          <w:color w:val="1A1A1A"/>
        </w:rPr>
        <w:t>GA4, Organic Performance Analysis, Optimization Targets, Workflow Specs &amp; Documentation, Technical Translation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