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September 17, 2026</w:t>
      </w:r>
    </w:p>
    <w:p>
      <w:pPr>
        <w:spacing w:after="20"/>
      </w:pPr>
      <w:r>
        <w:rPr>
          <w:rFonts w:ascii="Calibri" w:hAnsi="Calibri"/>
          <w:b/>
          <w:color w:val="1A1A1A"/>
        </w:rPr>
        <w:t>Dot Compliance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Marketing Manager, AI Solutions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Dot Compliance is asking someone to take an agentic AI unit from zero to a real go-to-market motion, and that is the specific motion I run at Solenzo every day: turning a business's loosely defined intent into working AI agent logic, then building the narrative that gets a customer to trust it.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At Wix, I took a brand-new vertical from proof of concept to a profitable business line, building the enablement materials and sales training that helped a team sell something that did not exist a year earlier. I also work inside ChatGPT and Claude daily as production tools, not slide-deck talking points, which means I can translate technical AI capability into language a non-technical buyer can act on rather than just describe it secondhand.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Life sciences is new ground for me specifically, but building the story around a technical AI product for a buyer who needs to trust it before they adopt it is not. I'd welcome a conversation about how that experience applies to your agentic unit's launch. I'm available at 303-726-5037 or jrotnbrg@gmail.com.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