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Aaron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Digital Advertising &amp; Paid Media Account Manager | Google Ads, Meta Ads &amp; AI-Driven Optimization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Digital advertising and paid media professional with 15+ years in B2B and e-commerce marketing, managing Google Ads and Meta Ads campaigns for a portfolio of clients and translating business goals into media strategy, budget, and creative decisions. Brings hands-on AI fluency, building and evaluating AI-driven marketing systems, to a discipline increasingly built around applying AI to campaign efficiency, plus agency-side account management experience across multi-stakeholder client relationships.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account, cutting spam and low-quality leads and improving click-through quality, then diagnosed on-site CRO as the remaining conversion bottleneck, demonstrating full-funnel troubleshooting.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client goals, objectives,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autonomous, AI-driven marketing systems for service-based businesses, automating lead enrichment, outreach, and appointment booking.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 and evaluate AI-generated response output for client automation systems, and built rubric-based grading criteria for the SEO audit process, scoring outputs against defined standards.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executive leadership.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acting as strategic lead and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communication, managing workflows and tasks in ClickUp.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Paid Media &amp; Search:  </w:t>
      </w:r>
      <w:r>
        <w:rPr>
          <w:rFonts w:ascii="Calibri" w:hAnsi="Calibri"/>
          <w:b w:val="0"/>
          <w:i w:val="0"/>
          <w:color w:val="1A1A1A"/>
        </w:rPr>
        <w:t>Google Ads, Meta Ads (Certified), Paid Social, Campaign Optimization, Keyword &amp; Search-Term Research, Budget &amp; Bid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Campaign Efficiency:  </w:t>
      </w:r>
      <w:r>
        <w:rPr>
          <w:rFonts w:ascii="Calibri" w:hAnsi="Calibri"/>
          <w:b w:val="0"/>
          <w:i w:val="0"/>
          <w:color w:val="1A1A1A"/>
        </w:rPr>
        <w:t>AI-Driven Campaign Automation, AI Output Evaluation &amp; Rubric Grading, Prompt Design, Workflow Automation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GA4, Campaign Attribution, ROI / CAC / LTV Reporting, QBRs, Performance Dashboards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&amp; Agency Management:  </w:t>
      </w:r>
      <w:r>
        <w:rPr>
          <w:rFonts w:ascii="Calibri" w:hAnsi="Calibri"/>
          <w:b w:val="0"/>
          <w:i w:val="0"/>
          <w:color w:val="1A1A1A"/>
        </w:rPr>
        <w:t>Multi-Stakeholder Account Management, Cross-Functional Collaboration, Agency Environment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Google/Coursera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