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Aaron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15, 2026</w:t>
      </w:r>
    </w:p>
    <w:p>
      <w:pPr>
        <w:spacing w:after="20"/>
      </w:pPr>
      <w:r>
        <w:rPr>
          <w:rFonts w:ascii="Calibri" w:hAnsi="Calibri"/>
          <w:b/>
          <w:color w:val="1A1A1A"/>
        </w:rPr>
        <w:t>Channel Impact</w:t>
      </w:r>
    </w:p>
    <w:p>
      <w:pPr>
        <w:spacing w:after="160"/>
      </w:pPr>
      <w:r>
        <w:rPr>
          <w:rFonts w:ascii="Calibri" w:hAnsi="Calibri"/>
          <w:b w:val="0"/>
          <w:color w:val="1A1A1A"/>
        </w:rPr>
        <w:t>Re: Field &amp; Channel Marketing Manager</w:t>
      </w:r>
    </w:p>
    <w:p>
      <w:pPr>
        <w:spacing w:after="160"/>
      </w:pPr>
      <w:r>
        <w:rPr>
          <w:rFonts w:ascii="Calibri" w:hAnsi="Calibri"/>
          <w:b w:val="0"/>
          <w:color w:val="1A1A1A"/>
        </w:rPr>
        <w:t>Dear Hiring Team,</w:t>
      </w:r>
    </w:p>
    <w:p>
      <w:pPr>
        <w:spacing w:after="160"/>
      </w:pPr>
      <w:r>
        <w:rPr>
          <w:rFonts w:ascii="Calibri" w:hAnsi="Calibri"/>
          <w:b w:val="0"/>
          <w:color w:val="1A1A1A"/>
        </w:rPr>
        <w:t>Channel Impact's focus on helping companies win through partnering is exactly the kind of work I did managing Birdeye's reseller partner network, which is why this role caught my attention.</w:t>
      </w:r>
    </w:p>
    <w:p>
      <w:pPr>
        <w:spacing w:after="160"/>
      </w:pPr>
      <w:r>
        <w:rPr>
          <w:rFonts w:ascii="Calibri" w:hAnsi="Calibri"/>
          <w:b w:val="0"/>
          <w:color w:val="1A1A1A"/>
        </w:rPr>
        <w:t>At Birdeye, I onboarded and managed 15 to 20 reseller partners, spanning health, home services, and retail verticals, and retained all but one (roughly 94%) by advising them directly on retention strategy and equipping them to communicate product value to their own customers. That partner-relationship work ran 14 months, not several years dedicated to channel marketing specifically, worth saying plainly. Separately, I've built the ROI and pipeline reporting that proves marketing's actual contribution to revenue, tracking ROI, CAC, LTV, and conversion KPIs at Level Agency and reporting funnel and campaign performance directly to executive leadership at Solenzo. What I haven't personally done is plan or run field events (conferences, roadshows, summits), so I'd rather say that upfront than let the resume imply otherwise.</w:t>
      </w:r>
    </w:p>
    <w:p>
      <w:pPr>
        <w:spacing w:after="160"/>
      </w:pPr>
      <w:r>
        <w:rPr>
          <w:rFonts w:ascii="Calibri" w:hAnsi="Calibri"/>
          <w:b w:val="0"/>
          <w:color w:val="1A1A1A"/>
        </w:rPr>
        <w:t>I'd welcome the chance to talk about how the channel-partner and ROI-reporting side of my background could work alongside a team running the event and field-marketing execution.</w:t>
      </w:r>
    </w:p>
    <w:p>
      <w:pPr>
        <w:spacing w:after="280"/>
      </w:pPr>
      <w:r>
        <w:rPr>
          <w:rFonts w:ascii="Calibri" w:hAnsi="Calibri"/>
          <w:b w:val="0"/>
          <w:color w:val="1A1A1A"/>
        </w:rPr>
        <w:t>Sincerely,</w:t>
      </w:r>
    </w:p>
    <w:p>
      <w:pPr>
        <w:spacing w:after="160"/>
      </w:pPr>
      <w:r>
        <w:rPr>
          <w:rFonts w:ascii="Calibri" w:hAnsi="Calibri"/>
          <w:b w:val="0"/>
          <w:color w:val="1A1A1A"/>
        </w:rPr>
        <w:t>Joshua Aaron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