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Stratabeat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SEO, GEO &amp; Content Strategist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asked for 3 to 5 reasons I am a strong fit for this role, so here they are, directly.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1. Real, hands-on technical SEO depth. I run technical SEO audits, keyword gap analysis, and competitor research with Screaming Frog, and implement schema and structured data as standard practice, the same tools your team already uses.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2. A genuine bridge into GEO. I build AI agent logic and prompt design every day, translating business intent into structured LLM instructions and evaluating AI-generated output against rubrics I wrote myself. I have not run LLM citation-tracking as a formal deliverable yet, but I understand the mechanics of how content gets processed and surfaced by generative engines better than most SEO-only candidates will.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3. Quantified, real results. At Wix, I drove a 30% increase in website traffic and a 25% improvement in conversion rates managing a live client portfolio, not a single case study, a sustained book of accounts.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4. B2B SaaS and agency background across multiple employers, plus direct financial-services client experience at Fetch &amp; Funnel, covering two of your three named verticals.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5. Proven autonomous execution. I have run client engagements solo end to end, research, strategy, content, and reporting, for the last two years as a founder, and cross-functionally with analysts, engineers, and product teams before that.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would welcome the chance to bring all five of these to your clients.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