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28, 2026</w:t>
      </w:r>
    </w:p>
    <w:p>
      <w:pPr>
        <w:spacing w:after="20"/>
      </w:pPr>
      <w:r>
        <w:rPr>
          <w:rFonts w:ascii="Calibri" w:hAnsi="Calibri"/>
          <w:b/>
          <w:color w:val="1A1A1A"/>
        </w:rPr>
        <w:t>Fetch</w:t>
      </w:r>
    </w:p>
    <w:p>
      <w:pPr>
        <w:spacing w:after="160"/>
      </w:pPr>
      <w:r>
        <w:rPr>
          <w:rFonts w:ascii="Calibri" w:hAnsi="Calibri"/>
          <w:b w:val="0"/>
          <w:color w:val="1A1A1A"/>
        </w:rPr>
        <w:t>Re: Manager, Partner Experience &amp; Onboarding</w:t>
      </w:r>
    </w:p>
    <w:p>
      <w:pPr>
        <w:spacing w:after="160"/>
      </w:pPr>
      <w:r>
        <w:rPr>
          <w:rFonts w:ascii="Calibri" w:hAnsi="Calibri"/>
          <w:b w:val="0"/>
          <w:color w:val="1A1A1A"/>
        </w:rPr>
        <w:t>Dear Hiring Team,</w:t>
      </w:r>
    </w:p>
    <w:p>
      <w:pPr>
        <w:spacing w:after="160"/>
      </w:pPr>
      <w:r>
        <w:rPr>
          <w:rFonts w:ascii="Calibri" w:hAnsi="Calibri"/>
          <w:b w:val="0"/>
          <w:color w:val="1A1A1A"/>
        </w:rPr>
        <w:t>The way you frame this role, owning the path from the moment a partner finds Fetch to their first block and every block after, is how I think about onboarding. At Wix I led a team of 20 (later 8) onboarding specialists while launching 25+ clients a month at 110% of implementation targets. At Birdeye I onboarded 15 to 20 reseller partners and kept all but one.</w:t>
      </w:r>
    </w:p>
    <w:p>
      <w:pPr>
        <w:spacing w:after="160"/>
      </w:pPr>
      <w:r>
        <w:rPr>
          <w:rFonts w:ascii="Calibri" w:hAnsi="Calibri"/>
          <w:b w:val="0"/>
          <w:color w:val="1A1A1A"/>
        </w:rPr>
        <w:t>The funnel side is work I do every day. At Solenzo I build the full path for home-services businesses: paid acquisition, capture, qualification, scheduling with automated confirmations and reminders, no-show recovery, and reactivation, with reporting on conversion at each stage. When results slip, I look for the actual driver. On one client account, cleaning up Google Ads fixed lead quality but not volume, and the real bottleneck turned out to be the site itself. Stuck applicants, cost per activation, and time to first block are the same problems in a different funnel.</w:t>
      </w:r>
    </w:p>
    <w:p>
      <w:pPr>
        <w:spacing w:after="160"/>
      </w:pPr>
      <w:r>
        <w:rPr>
          <w:rFonts w:ascii="Calibri" w:hAnsi="Calibri"/>
          <w:b w:val="0"/>
          <w:color w:val="1A1A1A"/>
        </w:rPr>
        <w:t>I have not recruited a gig or 1099 workforce, and last-mile logistics would be new to me. Onboarding mechanics, spend discipline, and a team that knows its priorities carry over directly. I would welcome a conversation about where the partner funnel is leaking today.</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