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11, 2026</w:t>
      </w:r>
    </w:p>
    <w:p>
      <w:pPr>
        <w:spacing w:after="20"/>
      </w:pPr>
      <w:r>
        <w:rPr>
          <w:rFonts w:ascii="Calibri" w:hAnsi="Calibri"/>
          <w:b/>
          <w:color w:val="1A1A1A"/>
        </w:rPr>
        <w:t>BOA Technology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Marketing Specialist - Americas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based in Arvada, a few miles from BOA's Denver headquarters, and I spend my own time outdoors around Colorado, so a chance to bring 15 years of marketing program execution to a company built right here caught my attention.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My background is B2B and agency marketing rather than consumer brand work, but the underlying discipline this role needs is one I've run for years: building training materials and onboarding programs that bring a partner network or a new hire up to a consistent standard (Birdeye, Wix), tracking campaign performance against KPIs and reporting it out in regular business reviews (Level Agency), and writing the copy and content that carries a brand's voice consistently across channels (Solenzo). I've also managed budgets and delivery for a high-value client portfolio while leading a team, so I'm comfortable owning a program end to end rather than just a piece of it.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What I don't have is direct experience in the outdoor or gear industry, or running athlete and event marketing specifically, and I'd rather say that upfront than have it surface later. What I bring instead is the program-execution and training discipline this role runs on, plus genuine local presence for the in-office connection days. I'd welcome the chance to talk through how that translates to BOA's retail and brand-partner programs.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