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Content &amp; Growth Marketer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Content-driven marketer and full-funnel growth builder with 15+ years across SaaS, MarTech, and agency environments, including 2+ years running marketing end-to-end as a solo founder. I write copy and narratives that turn complex ideas into messages ordinary readers act on, and I pair that with hands-on analytics to know what's actually working and cut what isn't. Comfortable owning a channel alone — no team, no handoffs — from first draft through the numbers that prove it worked.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 as sole owner of marketing execution for a portfolio of service-based businesses — content, copy, and technical implementation, with no team and no handoffs.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engagement, funnel progression, and campaign ROI, delivering insights and recommendations to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content and campaign performance and continuously optimize what's working.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keyword and competitor research to identify what audiences respond to, then implement the fixes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email sequences, and conversion-focused copy —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 and conversion KPIs, delivering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team/vertical from proof-of-concept to a profitable business line, developing training materials used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team lead for onboarding/launch operations — the primary strategic contact ensuring on-time delivery that accelerated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across a high-volume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 strategy and customer health metrics, helping partners understand and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fluency in pipeline automation and enablement content.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workflow design,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implementation-services bookings (~$213K annualized), consistently performing above commission floor into accelerator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in a highly regulated startup environment.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early operational infrastructure — intake processes and reporting systems — scaling the business to profitability.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 service, vendor, and supplier workflows from the ground 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Writing:  </w:t>
      </w:r>
      <w:r>
        <w:rPr>
          <w:rFonts w:ascii="Calibri" w:hAnsi="Calibri"/>
          <w:b w:val="0"/>
          <w:i w:val="0"/>
          <w:color w:val="1A1A1A"/>
        </w:rPr>
        <w:t>Thought Leadership, Newsletters, Direct-Response Copy, Technical Translation, Brand Voice, Editorial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Demand Generation:  </w:t>
      </w:r>
      <w:r>
        <w:rPr>
          <w:rFonts w:ascii="Calibri" w:hAnsi="Calibri"/>
          <w:b w:val="0"/>
          <w:i w:val="0"/>
          <w:color w:val="1A1A1A"/>
        </w:rPr>
        <w:t>Full-Funnel Acquisition, Email Marketing, Landing Pages, CRO, SEO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Campaign Attribution, ROI Dashboards,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Solo Channel Ownership, Process &amp; SOP Development, Self-Directed Execution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GoHighLevel, Notion, GA4, Google Search Console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