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22, 2026</w:t>
      </w:r>
    </w:p>
    <w:p>
      <w:pPr>
        <w:spacing w:after="20"/>
      </w:pPr>
      <w:r>
        <w:rPr>
          <w:rFonts w:ascii="Calibri" w:hAnsi="Calibri"/>
          <w:b/>
          <w:color w:val="1A1A1A"/>
        </w:rPr>
        <w:t>OpenRouter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Solutions Architect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want to be direct about where I fit and where I don't. I haven't run Kubernetes clusters or architected cloud networking, and I'm not going to pretend otherwise. What I do have is genuine, daily hands-on time in the LLM ecosystem: evaluating and piloting AI tools and automation platforms, architecting agent systems for real clients, and writing the prompts and agent instructions that turn a business owner's loosely formed idea into something that actually runs. That's the part of this role I could do well from day one.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infrastructure depth is the real gap, and the fastest way I know to close a gap like that is the same way I picked up SQL, Power BI, and agentic AI system design in the first place: hands-on, because I wanted to understand it, not because a job required it. I also bring direct B2B sales experience into healthcare (Birdeye) and financial services (Fetch &amp; Funnel), regulated-adjacent verticals your nice-to-haves call out specifically.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If the AI-fluency and customer-facing technical translation matter more to you right now than a finished infrastructure background, I'd welcome the conversation. I'm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