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Compound Growth Marketing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Content &amp; SEO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agree with the premise behind this role: technical fundamentals and content strategy are equal halves of B2B SEO, and AI search is now part of the job rather than a side experiment. A practice being built into a standardized delivery model, where I'd help shape the playbook, is exactly where I want to work.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SEO work is hands-on. At Solenzo I run technical audits in Screaming Frog, implement schema and structured data, fix crawlability and on-page issues directly in client CMS platforms, and use Ahrefs, Semrush, Search Console, and GA4 to find keyword gaps and decide what content each client should build next. I use Claude Code, Claude, and ChatGPT every day to build LLM workflows, and I built rubric-based grading criteria to evaluate AI-assisted audit output, which is the same discipline AEO measurement needs: deciding what good looks like and holding the work to it. On the leadership side, I led a team of up to 20 at Wix, contributing to hiring and training, and I care about building analysts who need less oversight over time.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straightforward about two gaps: most of my SEO clients have been small and mid-sized businesses rather than national B2B SaaS brands, and I don't yet have client numbers from LLM-visibility work. I'd welcome a conversation about how CGM is defining AEO measurement and how I could help build it.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