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Strategy &amp; Digital Marketing Leader — Executive Accounts, Team Development, Performance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strategy and digital marketing leader who retained all but one of a 15–20 partner portfolio at Birdeye (~94%, deals $10K–$45K) and contributed to a 30% increase in website traffic and 25% improvement in conversion rates across the e-commerce segment at Wix. 15+ years across performance marketing agencies, SaaS, and SMB digital services spanning PPC, SEO, paid media, and marketing automation. Managed and developed a team of onboarding specialists, owning budgets, scope, and delivery, and built the hiring, training, and process work that took a new vertical from proof of concept to a profitable business line.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marketing systems that automate lead enrichment, outreach, and appointment booking, advancing measurement and reporting through automation.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marketing strategy across inbound, paid media, and content, coordinating execution across internal creative, media, and analytics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pages, complex email sequences, and conversion-focused copy,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with deal sizes of roughly $10K–$45K,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engagement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at a performance marketing agency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Strategy &amp; Executive Advisory:  </w:t>
      </w:r>
      <w:r>
        <w:rPr>
          <w:rFonts w:ascii="Calibri" w:hAnsi="Calibri"/>
          <w:b w:val="0"/>
          <w:i w:val="0"/>
          <w:color w:val="1A1A1A"/>
        </w:rPr>
        <w:t>Executive business reviews, Trusted advisor relationships, C-Suite engagement, Strategic account planning, Retention &amp; growth strategy, Account risk &amp; escalation management,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 &amp; Development:  </w:t>
      </w:r>
      <w:r>
        <w:rPr>
          <w:rFonts w:ascii="Calibri" w:hAnsi="Calibri"/>
          <w:b w:val="0"/>
          <w:i w:val="0"/>
          <w:color w:val="1A1A1A"/>
        </w:rPr>
        <w:t>Team management, Hiring &amp; onboarding, Training &amp; enablement, Sales training development, Performance standards, Coaching &amp; development, Budget, scope &amp; delivery ownership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Marketing Channels:  </w:t>
      </w:r>
      <w:r>
        <w:rPr>
          <w:rFonts w:ascii="Calibri" w:hAnsi="Calibri"/>
          <w:b w:val="0"/>
          <w:i w:val="0"/>
          <w:color w:val="1A1A1A"/>
        </w:rPr>
        <w:t>PPC / Google Ads, SEO, Paid media, Email marketing, Landing pages, Lifecycle marketing, Conversion rate optimization, Content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&amp; Analytics:  </w:t>
      </w:r>
      <w:r>
        <w:rPr>
          <w:rFonts w:ascii="Calibri" w:hAnsi="Calibri"/>
          <w:b w:val="0"/>
          <w:i w:val="0"/>
          <w:color w:val="1A1A1A"/>
        </w:rPr>
        <w:t>GA4, KPI attainment &amp; pacing, Campaign attribution, ROI dashboards, Funnel analysis, Churn &amp; retention analytics, Executive performance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Scale:  </w:t>
      </w:r>
      <w:r>
        <w:rPr>
          <w:rFonts w:ascii="Calibri" w:hAnsi="Calibri"/>
          <w:b w:val="0"/>
          <w:i w:val="0"/>
          <w:color w:val="1A1A1A"/>
        </w:rPr>
        <w:t>Playbooks &amp; SOPs, Scalable process design, Cross-functional alignment, Project management, Asana, Jira, Monday.com, Stakeholder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Technology &amp; AI:  </w:t>
      </w:r>
      <w:r>
        <w:rPr>
          <w:rFonts w:ascii="Calibri" w:hAnsi="Calibri"/>
          <w:b w:val="0"/>
          <w:i w:val="0"/>
          <w:color w:val="1A1A1A"/>
        </w:rPr>
        <w:t>HubSpot, Salesforce, GoHighLevel, CRM architecture, Marketing automation, Agentic AI workflows, Reporting &amp; automation innovation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