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2, 2026</w:t>
      </w:r>
    </w:p>
    <w:p>
      <w:pPr>
        <w:spacing w:after="20"/>
      </w:pPr>
      <w:r>
        <w:rPr>
          <w:rFonts w:ascii="Calibri" w:hAnsi="Calibri"/>
          <w:b/>
          <w:color w:val="1A1A1A"/>
        </w:rPr>
        <w:t>GiveDirectly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Growth Manager, Paid Media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You're looking for someone who runs paid media inside the platforms, builds the tracking themselves, and trusts their own data over the platform's recommendations. That's how I work. As a solo founder at Solenzo I don't have an agency behind me, so the campaign build, the tracking, and the read on what's working are all mine.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On Google Ads I've cleaned up a client account to cut spam leads and improve click quality, then traced the remaining drop-off to the landing page instead of buying more traffic. At Level Agency I designed A/B-tested LinkedIn campaigns for small, researched audiences, advised clients on budget allocation, and reported CAC, LTV, ROI, and conversion to senior stakeholders. I'm Meta Ads certified, and I set up Google Tag Manager and GA4 tracking and the CRM integrations behind them, the foundation for the attribution you want stood up. I also write the ad copy and landing pages myself.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I'll be direct about the main gap: I haven't managed anything close to a $5M annual budget, and I haven't run YouTube or TikTok programs. If the team is open to a hands-on operator who builds the measurement foundation first and scales spend as the data earns it, I'd welcome a conversation.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