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Performance Marketing &amp; Paid Media | Tracking, Attribution, Testing</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Hands-on performance marketer with 15+ years across agency, MarTech, and B2B SaaS, building and running paid programs inside the platforms rather than through an agency. Runs Google Ads campaigns hands-on, is Meta Ads certified, designed A/B-tested LinkedIn campaigns for small, researched audiences, and advised clients on ad-spend budget planning. Builds the tracking behind the numbers: Google Tag Manager, GA4, CRM integrations, and dashboards that report CAC, LTV, ROI, and conversion outside the ad platforms. Writes ad copy, landing pages, and email sequences, and trusts the data over platform recommendations.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to cut spam and low-quality leads and improve click quality, then diagnosed on-site conversion as the remaining bottleneck rather than spending more on traffic.</w:t>
      </w:r>
    </w:p>
    <w:p>
      <w:pPr>
        <w:spacing w:after="30"/>
        <w:ind w:left="259" w:hanging="259"/>
      </w:pPr>
      <w:r>
        <w:rPr>
          <w:rFonts w:ascii="Calibri" w:hAnsi="Calibri"/>
          <w:b w:val="0"/>
          <w:i w:val="0"/>
          <w:color w:val="163A5F"/>
        </w:rPr>
        <w:t xml:space="preserve">•  </w:t>
      </w:r>
      <w:r>
        <w:rPr>
          <w:rFonts w:ascii="Calibri" w:hAnsi="Calibri"/>
          <w:b w:val="0"/>
          <w:i w:val="0"/>
          <w:color w:val="1A1A1A"/>
        </w:rPr>
        <w:t>Install Google Tag Manager on every site built and implement GA4 tracking directly in site code, so campaign results can be measured outside the ad platforms.</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in Power BI and GA4 tracking lead generation, funnel progression, and campaign ROI, writing SQL for BigQuery/GA4 pulls.</w:t>
      </w:r>
    </w:p>
    <w:p>
      <w:pPr>
        <w:spacing w:after="30"/>
        <w:ind w:left="259" w:hanging="259"/>
      </w:pPr>
      <w:r>
        <w:rPr>
          <w:rFonts w:ascii="Calibri" w:hAnsi="Calibri"/>
          <w:b w:val="0"/>
          <w:i w:val="0"/>
          <w:color w:val="163A5F"/>
        </w:rPr>
        <w:t xml:space="preserve">•  </w:t>
      </w:r>
      <w:r>
        <w:rPr>
          <w:rFonts w:ascii="Calibri" w:hAnsi="Calibri"/>
          <w:b w:val="0"/>
          <w:i w:val="0"/>
          <w:color w:val="1A1A1A"/>
        </w:rPr>
        <w:t>Write direct-response ad copy, landing pages, and email and SMS sequences, and built 20+ automated lifecycle workflows that convert and retain leads.</w:t>
      </w:r>
    </w:p>
    <w:p>
      <w:pPr>
        <w:spacing w:after="30"/>
        <w:ind w:left="259" w:hanging="259"/>
      </w:pPr>
      <w:r>
        <w:rPr>
          <w:rFonts w:ascii="Calibri" w:hAnsi="Calibri"/>
          <w:b w:val="0"/>
          <w:i w:val="0"/>
          <w:color w:val="163A5F"/>
        </w:rPr>
        <w:t xml:space="preserve">•  </w:t>
      </w:r>
      <w:r>
        <w:rPr>
          <w:rFonts w:ascii="Calibri" w:hAnsi="Calibri"/>
          <w:b w:val="0"/>
          <w:i w:val="0"/>
          <w:color w:val="1A1A1A"/>
        </w:rPr>
        <w:t>Grew a free audit offer through LinkedIn organic content: 180+ businesses enrolled, 2 converted to paying clients.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ad-spend budget planning and allocation across paid campaigns.</w:t>
      </w:r>
    </w:p>
    <w:p>
      <w:pPr>
        <w:spacing w:after="30"/>
        <w:ind w:left="259" w:hanging="259"/>
      </w:pPr>
      <w:r>
        <w:rPr>
          <w:rFonts w:ascii="Calibri" w:hAnsi="Calibri"/>
          <w:b w:val="0"/>
          <w:i w:val="0"/>
          <w:color w:val="163A5F"/>
        </w:rPr>
        <w:t xml:space="preserve">•  </w:t>
      </w:r>
      <w:r>
        <w:rPr>
          <w:rFonts w:ascii="Calibri" w:hAnsi="Calibri"/>
          <w:b w:val="0"/>
          <w:i w:val="0"/>
          <w:color w:val="1A1A1A"/>
        </w:rPr>
        <w:t>Designed account-based LinkedIn ad campaigns targeting small, highly researched audiences with A/B-tested setups.</w:t>
      </w:r>
    </w:p>
    <w:p>
      <w:pPr>
        <w:spacing w:after="30"/>
        <w:ind w:left="259" w:hanging="259"/>
      </w:pPr>
      <w:r>
        <w:rPr>
          <w:rFonts w:ascii="Calibri" w:hAnsi="Calibri"/>
          <w:b w:val="0"/>
          <w:i w:val="0"/>
          <w:color w:val="163A5F"/>
        </w:rPr>
        <w:t xml:space="preserve">•  </w:t>
      </w:r>
      <w:r>
        <w:rPr>
          <w:rFonts w:ascii="Calibri" w:hAnsi="Calibri"/>
          <w:b w:val="0"/>
          <w:i w:val="0"/>
          <w:color w:val="1A1A1A"/>
        </w:rPr>
        <w:t>Built reporting frameworks tracking ROI, CAC, LTV, and conversion KPIs, delivering QBRs and optimization recommendations to senior stakeholders.</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across inbound, paid media, and content, and produced landing pages and conversion-focused copy.</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across health, home services, and retail, retaining all but one (~94% retention), and tracked the book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at a performance marketing agency and turned results into optimization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(~$130K+ total).</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Paid Media:  </w:t>
      </w:r>
      <w:r>
        <w:rPr>
          <w:rFonts w:ascii="Calibri" w:hAnsi="Calibri"/>
          <w:b w:val="0"/>
          <w:i w:val="0"/>
          <w:color w:val="1A1A1A"/>
        </w:rPr>
        <w:t>Google Ads, Meta Ads (certified), LinkedIn Ads, Budget Planning &amp; Pacing, A/B Testing, Ad Copy &amp; Creative Direction, Landing Pages</w:t>
      </w:r>
    </w:p>
    <w:p>
      <w:pPr>
        <w:spacing w:after="30"/>
      </w:pPr>
      <w:r>
        <w:rPr>
          <w:rFonts w:ascii="Calibri" w:hAnsi="Calibri"/>
          <w:b/>
          <w:i w:val="0"/>
          <w:color w:val="1A1A1A"/>
        </w:rPr>
        <w:t xml:space="preserve">Measurement:  </w:t>
      </w:r>
      <w:r>
        <w:rPr>
          <w:rFonts w:ascii="Calibri" w:hAnsi="Calibri"/>
          <w:b w:val="0"/>
          <w:i w:val="0"/>
          <w:color w:val="1A1A1A"/>
        </w:rPr>
        <w:t>GA4, Google Tag Manager, Conversion Tracking Setup, Power BI, SQL (BigQuery), Excel</w:t>
      </w:r>
    </w:p>
    <w:p>
      <w:pPr>
        <w:spacing w:after="30"/>
      </w:pPr>
      <w:r>
        <w:rPr>
          <w:rFonts w:ascii="Calibri" w:hAnsi="Calibri"/>
          <w:b/>
          <w:i w:val="0"/>
          <w:color w:val="1A1A1A"/>
        </w:rPr>
        <w:t xml:space="preserve">Stack:  </w:t>
      </w:r>
      <w:r>
        <w:rPr>
          <w:rFonts w:ascii="Calibri" w:hAnsi="Calibri"/>
          <w:b w:val="0"/>
          <w:i w:val="0"/>
          <w:color w:val="1A1A1A"/>
        </w:rPr>
        <w:t>Salesforce, Zendesk, Ahrefs, CMS Implementation, HubSpot, Zapier, Make, n8n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