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20,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The Pond Guy / Airmax, Inc.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SEO Content Strategist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SEO Content Strategist role. What stands out in the posting is the framing of content as a product-education tool, not just a ranking exercise: helping a customer figure out what to buy, when, and why, through search. That's the same job I do for clients today, just applied to a different catalog.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 own the full SEO-content pipeline for a portfolio of B2B and local-service clients: keyword research and content-gap analysis through Screaming Frog and Semrush/Ahrefs, on-page execution (meta, header structure, internal linking, schema), and GA4/Search Console monitoring that tells me which pages to refresh versus rebuild. I also build the AI agent workflows my clients use for outreach and content scoring, which means I work with LLM behavior directly, not as a trend I've read about, which is real, current fluency for the AEO/GEO piece of this role. Earlier, at Wix, I built and launched e-commerce storefronts for established retail businesses adding an online sales channel, contributing to a 30% traffic increase and 25% conversion improvement across that segment.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have pond or water-garden category experience, and I'd rather say that directly than let it go unaddressed. What I bring is the mechanics: turning keyword and seasonality data into content that gets found and converts, which transfers regardless of category. I'd welcome a conversation about how that applies to Airmax's ecommerce ecosystem.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