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October 12, 2026</w:t>
      </w:r>
    </w:p>
    <w:p>
      <w:pPr>
        <w:spacing w:after="20"/>
      </w:pPr>
      <w:r>
        <w:rPr>
          <w:rFonts w:ascii="Calibri" w:hAnsi="Calibri"/>
          <w:b/>
          <w:color w:val="1A1A1A"/>
        </w:rPr>
        <w:t>Snappy</w:t>
      </w:r>
    </w:p>
    <w:p>
      <w:pPr>
        <w:spacing w:after="160"/>
      </w:pPr>
      <w:r>
        <w:rPr>
          <w:rFonts w:ascii="Calibri" w:hAnsi="Calibri"/>
          <w:b w:val="0"/>
          <w:color w:val="1A1A1A"/>
        </w:rPr>
        <w:t>Re: Enterprise Customer Success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Enterprise Customer Success Manager role. Your posting says revenue growth, not just satisfaction, and that's how I've always measured a book. At Birdeye I managed 15 to 20 reseller partners on deals from $10K to $45K, close to your $15K to $100K range, and retained all but one, roughly 94%, by watching utilization for adoption gaps and stepping in before renewal. At Wix I held 120% of sales targets, and at Accelo I ranked top three of 8 to 15 reps while quota roughly doubled.</w:t>
      </w:r>
    </w:p>
    <w:p>
      <w:pPr>
        <w:spacing w:after="160"/>
      </w:pPr>
      <w:r>
        <w:rPr>
          <w:rFonts w:ascii="Calibri" w:hAnsi="Calibri"/>
          <w:b w:val="0"/>
          <w:color w:val="1A1A1A"/>
        </w:rPr>
        <w:t>On AI, I'm past curious. I use ChatGPT and Claude every day and build LLM-powered workflows in n8n and Make for my own clients, including scoring logic that ranks which businesses get attention first. That prioritization is the same book analysis your posting describes, and I'd bring it on day one. I've also built automated retention campaigns that bring past customers back, which maps directly to getting gifting programs to repeat year after year.</w:t>
      </w:r>
    </w:p>
    <w:p>
      <w:pPr>
        <w:spacing w:after="160"/>
      </w:pPr>
      <w:r>
        <w:rPr>
          <w:rFonts w:ascii="Calibri" w:hAnsi="Calibri"/>
          <w:b w:val="0"/>
          <w:color w:val="1A1A1A"/>
        </w:rPr>
        <w:t>I'll be direct about one thing: I haven't owned Fortune 500 accounts. What I've learned working up to the C-suite at Accelo is that the job is the same at any size, figuring out what each stakeholder needs to hear and how. I'd welcome a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