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Enterprise Health</w:t>
      </w:r>
    </w:p>
    <w:p>
      <w:pPr>
        <w:spacing w:after="160"/>
      </w:pPr>
      <w:r>
        <w:rPr>
          <w:rFonts w:ascii="Calibri" w:hAnsi="Calibri"/>
          <w:b w:val="0"/>
          <w:color w:val="1A1A1A"/>
        </w:rPr>
        <w:t>Re: Client Success Manager</w:t>
      </w:r>
    </w:p>
    <w:p>
      <w:pPr>
        <w:spacing w:after="160"/>
      </w:pPr>
      <w:r>
        <w:rPr>
          <w:rFonts w:ascii="Calibri" w:hAnsi="Calibri"/>
          <w:b w:val="0"/>
          <w:color w:val="1A1A1A"/>
        </w:rPr>
        <w:t>Dear Hiring Team,</w:t>
      </w:r>
    </w:p>
    <w:p>
      <w:pPr>
        <w:spacing w:after="160"/>
      </w:pPr>
      <w:r>
        <w:rPr>
          <w:rFonts w:ascii="Calibri" w:hAnsi="Calibri"/>
          <w:b w:val="0"/>
          <w:color w:val="1A1A1A"/>
        </w:rPr>
        <w:t>Standing up a client success function where account managers have been quietly absorbing the work takes someone who respects the boundaries you've drawn: own the operational relationship and the health signal, hand commercial work to Account Management cleanly, and don't become a pass-through for routine tickets. That division of labor is how I prefer to work. I'm at my best owning adoption and relationship health, not carrying a quota.</w:t>
      </w:r>
    </w:p>
    <w:p>
      <w:pPr>
        <w:spacing w:after="160"/>
      </w:pPr>
      <w:r>
        <w:rPr>
          <w:rFonts w:ascii="Calibri" w:hAnsi="Calibri"/>
          <w:b w:val="0"/>
          <w:color w:val="1A1A1A"/>
        </w:rPr>
        <w:t>At Birdeye I owned post-onboarding success for 15-20 reseller partners, including agencies serving healthcare clients. I tracked utilization and performance data to flag adoption gaps and churn risk before they surfaced in conversation, kept all but one partner, and turned partner feedback into structured, prioritized input for Product and Engineering. At Level Agency I delivered QBRs to client leadership, and at Accelo I worked alongside implementation teams and escalated account risk early. I also led a team of 20 (later 8) onboarding specialists at Wix. I haven't worked with occupational health EMR workflows yet; I'd learn them from your Deployment and Support teams, and I've spent enough time as a patient to know why accuracy in health systems matters.</w:t>
      </w:r>
    </w:p>
    <w:p>
      <w:pPr>
        <w:spacing w:after="160"/>
      </w:pPr>
      <w:r>
        <w:rPr>
          <w:rFonts w:ascii="Calibri" w:hAnsi="Calibri"/>
          <w:b w:val="0"/>
          <w:color w:val="1A1A1A"/>
        </w:rPr>
        <w:t>I'd welcome a conversation about building this function.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