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Storable</w:t>
      </w:r>
    </w:p>
    <w:p>
      <w:pPr>
        <w:spacing w:after="160"/>
      </w:pPr>
      <w:r>
        <w:rPr>
          <w:rFonts w:ascii="Calibri" w:hAnsi="Calibri"/>
          <w:b w:val="0"/>
          <w:color w:val="1A1A1A"/>
        </w:rPr>
        <w:t>Re: Senior Client Success Manager</w:t>
      </w:r>
    </w:p>
    <w:p>
      <w:pPr>
        <w:spacing w:after="160"/>
      </w:pPr>
      <w:r>
        <w:rPr>
          <w:rFonts w:ascii="Calibri" w:hAnsi="Calibri"/>
          <w:b w:val="0"/>
          <w:color w:val="1A1A1A"/>
        </w:rPr>
        <w:t>Dear Hiring Team,</w:t>
      </w:r>
    </w:p>
    <w:p>
      <w:pPr>
        <w:spacing w:after="160"/>
      </w:pPr>
      <w:r>
        <w:rPr>
          <w:rFonts w:ascii="Calibri" w:hAnsi="Calibri"/>
          <w:b w:val="0"/>
          <w:color w:val="1A1A1A"/>
        </w:rPr>
        <w:t>A storage operator struggling to get value from their software usually isn't short on features. The setup doesn't match how they run their facilities, or nobody has connected what the platform can do to the numbers they care about. Closing that gap, with the right configuration, a clear plan, and the right people at Storable pulled in, is the part of client success I'm best at.</w:t>
      </w:r>
    </w:p>
    <w:p>
      <w:pPr>
        <w:spacing w:after="160"/>
      </w:pPr>
      <w:r>
        <w:rPr>
          <w:rFonts w:ascii="Calibri" w:hAnsi="Calibri"/>
          <w:b w:val="0"/>
          <w:color w:val="1A1A1A"/>
        </w:rPr>
        <w:t>At Birdeye I managed 15-20 reseller partners serving local businesses, read their usage data in Salesforce to spot adoption gaps, and kept all but one. At Accelo I sold and implemented a CRM and project-management platform, building sequenced implementation plans and working directly with C-suite leaders on how their operations should run. At Wix I led a team of 20 (later 8) onboarding specialists and built the processes behind a new business line that became profitable. I haven't worked in self-storage, and I'd learn the operator side quickly; small and mid-size operators trying to run a tighter business are a customer I've served my whole career.</w:t>
      </w:r>
    </w:p>
    <w:p>
      <w:pPr>
        <w:spacing w:after="160"/>
      </w:pPr>
      <w:r>
        <w:rPr>
          <w:rFonts w:ascii="Calibri" w:hAnsi="Calibri"/>
          <w:b w:val="0"/>
          <w:color w:val="1A1A1A"/>
        </w:rPr>
        <w:t>I'd welcome a conversation about Storable's key clients.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