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Growth Marketer &amp; AI-Driven Creative Systems Builder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Growth marketer and AI systems builder with 15+ years across SaaS, MarTech, and agency environments. Writes and tests direct-response copy, landing pages, and short-form hook-driven video content, self-produced for Solenzo's own brand, while building AI-driven workflows that turn raw business and product information into structured, testable outputs, from personalized outreach sequences to a scored digital-footprint audit tool that enrolled 180+ businesses.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Self-produce short-form, hook-driven, talking-head video content for Solenzo's own brand marketing, appearing on camera to build organic 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 automated prospect 'audit' workflow that enrolled 180+ contacts, scoring a business's digital footprint to trigger personalized outreach and content.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instructions, bridging business intent and reliable LLM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clean, specific, ethically aligned direct-response copy, outreach sequences, and landing pages that drive engagement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and evaluate AI-generated response output for client automation systems, and built rubric-based grading criteria for the SEO audit process, scoring outputs against defined standards.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that inform the next round of messaging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assets, landing pages, complex email sequences, and conversion-focused copy, improving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and ran LinkedIn ad campaigns using an account-based-marketing approach, targeting small, highly researched audiences with A/B-tested setups rather than broad targeting.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coordinating execution across internal departments.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Creative &amp; Content:  </w:t>
      </w:r>
      <w:r>
        <w:rPr>
          <w:rFonts w:ascii="Calibri" w:hAnsi="Calibri"/>
          <w:b w:val="0"/>
          <w:i w:val="0"/>
          <w:color w:val="1A1A1A"/>
        </w:rPr>
        <w:t>Direct-Response Copywriting, Short-Form Hook-Driven Video (self-produced), Landing Pages, Email Sequences, Thought Leadership Content, Brand Voice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AI-Driven Creative Systems:  </w:t>
      </w:r>
      <w:r>
        <w:rPr>
          <w:rFonts w:ascii="Calibri" w:hAnsi="Calibri"/>
          <w:b w:val="0"/>
          <w:i w:val="0"/>
          <w:color w:val="1A1A1A"/>
        </w:rPr>
        <w:t>Generative AI (ChatGPT, Claude), Prompt Design &amp; Orchestration, AI Agent Architecture, Workflow Automation (Zapier, Make, n8n), Requirements-to-Concept Translation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Performance Marketing &amp; Testing:  </w:t>
      </w:r>
      <w:r>
        <w:rPr>
          <w:rFonts w:ascii="Calibri" w:hAnsi="Calibri"/>
          <w:b w:val="0"/>
          <w:i w:val="0"/>
          <w:color w:val="1A1A1A"/>
        </w:rPr>
        <w:t>A/B Testing, Paid Social (LinkedIn Ads), Meta Ads (Certified), Google Ads, Full-Funnel Acquisition, Campaign Attribution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ROI / CAC / LTV Reporting, KPI Tracking, QBRs, Performance Dashboards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Collaboration:  </w:t>
      </w:r>
      <w:r>
        <w:rPr>
          <w:rFonts w:ascii="Calibri" w:hAnsi="Calibri"/>
          <w:b w:val="0"/>
          <w:i w:val="0"/>
          <w:color w:val="1A1A1A"/>
        </w:rPr>
        <w:t>Stakeholder Alignment, Internal Department Coordination, Partner &amp; Vendor Coordination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