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28, 2026</w:t>
      </w:r>
    </w:p>
    <w:p>
      <w:pPr>
        <w:spacing w:after="20"/>
      </w:pPr>
      <w:r>
        <w:rPr>
          <w:rFonts w:ascii="Calibri" w:hAnsi="Calibri"/>
          <w:b/>
          <w:color w:val="1A1A1A"/>
        </w:rPr>
        <w:t>LawnStarter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Senior Lifecycle Marketing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You are hiring someone to write the message, build it, send it, and read the result, with nobody in between. That is how I have worked for the past two and a half years at Solenzo, the marketing systems company I founded and run, and it is why this posting reads differently to me than most lifecycle roles do.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What I built there is a lifecycle program in miniature: 20+ workflows covering lead capture and routing, qualification, booking with confirmation and reminders, no-show recovery, post-sale onboarding nurture, long-term reactivation, and review generation. I wrote every message in it. On top of that sits the layer your posting calls the single biggest reason the role exists, agent logic that scores a business's digital footprint and generates outreach personalized at a grain I could not produce by hand, running through an audit workflow that enrolled 180+ contacts. Around all of it I built evaluation loops that watch the agents' output and surface a broken or underperforming path before anyone downstream notices it.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have not worked in Braze. The discipline underneath it, segmentation, trigger logic, personalization, and the judgment about what deserves automation at all, is what I do daily, and learning a client's existing stack has been the first step of every engagement I have run. I would like to walk you through what I built, where it fails, and what it returned.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