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color w:val="1A1A1A"/>
          <w:sz w:val="42"/>
        </w:rPr>
        <w:t>Joshua Rotenberg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555555"/>
          <w:sz w:val="23"/>
        </w:rPr>
        <w:t>Communications &amp; Content Strategist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SUMMARY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1A1A1A"/>
        </w:rPr>
        <w:t>Communications strategist with 15+ years writing and managing content and messaging for B2B and consumer audiences, including long-form thought leadership, short-form campaign copy, and organic social content that has driven measurable audience growth. Builds messaging frameworks that adapt a consistent voice across different audiences, and is comfortable working directly in CMS and web platforms to keep content current. Holds a B.A. with a minor in Political Science and brings genuine, long-standing engagement with Colorado and national politics to this work.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Founder &amp; Strategic / Marketing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Solenzo LLC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Write and publish thought leadership content, newsletters, and educational guides on systems architecture, CRM optimization, and operational growth for B2B audiences.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Design and promote a free digital-footprint audit offer through organic LinkedIn content and outreach, enrolling 180+ businesses to date.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Draft clean, specific direct-response copy, outreach sequences, and landing pages that drive engagement and pipeline.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Build reusable messaging frameworks and templates, adapting a consistent voice and structure to each client's brand and audience rather than starting from scratch.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Install and configure Google Tag Manager on every website built at Solenzo, and guide clients through their own CMS platforms to keep content current.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Client Strategist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Level Agency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Produced high-converting campaign assets and conversion-focused copy on deadline across concurrent client accounts.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integrated marketing strategies across inbound, paid media, and content, coordinating execution across internal departments.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Channel Partnerships &amp; Customer Onboarding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Birdeye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Advised a network of 15-20 partners on retention strategy and customer health metrics, equipping them to communicate product value clearly to their own customers.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Wix.com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a high-value account portfolio across diverse verticals, contributing to a 30% increase in website traffic and 25% improvement in conversion rates.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and developed a 20-person, later 8-person, onboarding team, training new hires and building staff enablement materials.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CORE COMPETENCIES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Content &amp; Messaging:  </w:t>
      </w:r>
      <w:r>
        <w:rPr>
          <w:rFonts w:ascii="Times New Roman" w:hAnsi="Times New Roman"/>
          <w:b w:val="0"/>
          <w:i w:val="0"/>
          <w:color w:val="1A1A1A"/>
        </w:rPr>
        <w:t>Long-Form &amp; Short-Form Writing, Thought Leadership, Messaging Frameworks, Editorial Management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Digital &amp; Social Content:  </w:t>
      </w:r>
      <w:r>
        <w:rPr>
          <w:rFonts w:ascii="Times New Roman" w:hAnsi="Times New Roman"/>
          <w:b w:val="0"/>
          <w:i w:val="0"/>
          <w:color w:val="1A1A1A"/>
        </w:rPr>
        <w:t>Organic Social Content Strategy, Content Distribution, Audience Growth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Website &amp; Technical:  </w:t>
      </w:r>
      <w:r>
        <w:rPr>
          <w:rFonts w:ascii="Times New Roman" w:hAnsi="Times New Roman"/>
          <w:b w:val="0"/>
          <w:i w:val="0"/>
          <w:color w:val="1A1A1A"/>
        </w:rPr>
        <w:t>CMS Management, Google Tag Manager, Website Content Updates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Delivery &amp; Coordination:  </w:t>
      </w:r>
      <w:r>
        <w:rPr>
          <w:rFonts w:ascii="Times New Roman" w:hAnsi="Times New Roman"/>
          <w:b w:val="0"/>
          <w:i w:val="0"/>
          <w:color w:val="1A1A1A"/>
        </w:rPr>
        <w:t>Cross-Functional Coordination, Deadline-Driven Delivery, Stakeholder Communication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EDUCATION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CERTIFICATIONS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Times New Roman" w:hAnsi="Times New Roman" w:cs="Times New Roman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