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and carries the mark ᵈ (coverage not established for its case sizes; legend in section 9);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 for other in ref.also %}, {{ other }}{% endfor %}]</w:t>
            </w:r>
          </w:p>
          <w:p>
            <w:r>
              <w:t>{%p else %}</w:t>
            </w:r>
          </w:p>
          <w:p>
            <w:pPr>
              <w:pStyle w:val="PPMarginNote"/>
            </w:pPr>
            <w:r>
              <w:t>{{ ref.label }} · section {{ ref.section }} · eSTAR: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 per draft guidance (January 2025), not for implementation</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