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8303" w14:textId="26B4DA54" w:rsidR="00734432" w:rsidRPr="00EE33D4" w:rsidRDefault="00734432" w:rsidP="00EE33D4">
      <w:pPr>
        <w:rPr>
          <w:rFonts w:ascii="Times New Roman" w:hAnsi="Times New Roman" w:cs="Times New Roman"/>
        </w:rPr>
      </w:pPr>
    </w:p>
    <w:p w14:paraId="71E4F04D" w14:textId="1EAA6AD5" w:rsidR="00734432" w:rsidRDefault="00734432" w:rsidP="00CD4723">
      <w:pPr>
        <w:jc w:val="center"/>
        <w:rPr>
          <w:rFonts w:ascii="Times New Roman" w:hAnsi="Times New Roman" w:cs="Times New Roman"/>
        </w:rPr>
      </w:pPr>
      <w:r w:rsidRPr="00EE33D4">
        <w:rPr>
          <w:rFonts w:ascii="Times New Roman" w:hAnsi="Times New Roman" w:cs="Times New Roman"/>
        </w:rPr>
        <w:t>CS-250 Chada Tech Retrospective Final Project</w:t>
      </w:r>
    </w:p>
    <w:p w14:paraId="19E6576F" w14:textId="307DF1C6" w:rsidR="00CD4723" w:rsidRPr="00EE33D4" w:rsidRDefault="00CD4723" w:rsidP="00CD4723">
      <w:pPr>
        <w:jc w:val="center"/>
        <w:rPr>
          <w:rFonts w:ascii="Times New Roman" w:hAnsi="Times New Roman" w:cs="Times New Roman"/>
        </w:rPr>
      </w:pPr>
      <w:r>
        <w:rPr>
          <w:rFonts w:ascii="Times New Roman" w:hAnsi="Times New Roman" w:cs="Times New Roman"/>
        </w:rPr>
        <w:t>Joshua Sevy</w:t>
      </w:r>
    </w:p>
    <w:p w14:paraId="127F19F6" w14:textId="5A09ACB4" w:rsidR="00CD4723" w:rsidRPr="00CD4723" w:rsidRDefault="00CD4723" w:rsidP="00CD4723">
      <w:pPr>
        <w:spacing w:line="480" w:lineRule="auto"/>
        <w:rPr>
          <w:rFonts w:ascii="Times New Roman" w:hAnsi="Times New Roman" w:cs="Times New Roman"/>
          <w:b/>
          <w:bCs/>
          <w:sz w:val="28"/>
          <w:szCs w:val="28"/>
        </w:rPr>
      </w:pPr>
      <w:r w:rsidRPr="00CD4723">
        <w:rPr>
          <w:rFonts w:ascii="Times New Roman" w:hAnsi="Times New Roman" w:cs="Times New Roman"/>
          <w:b/>
          <w:bCs/>
          <w:sz w:val="28"/>
          <w:szCs w:val="28"/>
        </w:rPr>
        <w:t>Applying Roles</w:t>
      </w:r>
    </w:p>
    <w:p w14:paraId="29340A9B" w14:textId="77777777" w:rsid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Throughout this course, assuming the role of each team member in Scrum helped me understand in depth how each team member plays an important part in the successful Agile delivery of the product. As the Product Owner, my primary focus was on identifying and gathering essential information about user needs, crafting clear, articulate user stories that explain the why behind each feature, and keeping the backlog prioritized and ready for the team. During my time as a tester, I helped dive into the stories by asking clarifying questions and filling any gaps. I also developed test cases to identify gaps and edge cases, thereby strengthening backlog refinement sessions and preventing defects before development.</w:t>
      </w:r>
    </w:p>
    <w:p w14:paraId="650A6FE5" w14:textId="4C87A6F0" w:rsidR="00CD4723" w:rsidRP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As a developer, I learned how important acceptance criteria and communication with the Product Owner and tester are to ensuring the feature behaves as intended. When assuming the Scrum Master role, I facilitated the team's work by organizing Scrum ceremonies, encouraging collaboration, and helping the team stay focused and free of impediments. It was also important for me to remind the team of the value they continue to deliver and to identify areas for growth. The Scrum team’s combined responsibilities demonstrated the interdependence among roles and how each role contributes to the overall outcome. It gave insight into shared ownership and cross-functional insights that Agile methodologies foster.</w:t>
      </w:r>
    </w:p>
    <w:p w14:paraId="5C7397CE" w14:textId="77777777" w:rsidR="00CD4723" w:rsidRPr="00CD4723" w:rsidRDefault="00CD4723" w:rsidP="00CD4723">
      <w:pPr>
        <w:spacing w:line="480" w:lineRule="auto"/>
        <w:rPr>
          <w:rFonts w:ascii="Times New Roman" w:hAnsi="Times New Roman" w:cs="Times New Roman"/>
          <w:b/>
          <w:bCs/>
          <w:sz w:val="28"/>
          <w:szCs w:val="28"/>
        </w:rPr>
      </w:pPr>
      <w:r w:rsidRPr="00CD4723">
        <w:rPr>
          <w:rFonts w:ascii="Times New Roman" w:hAnsi="Times New Roman" w:cs="Times New Roman"/>
          <w:b/>
          <w:bCs/>
          <w:sz w:val="28"/>
          <w:szCs w:val="28"/>
        </w:rPr>
        <w:t>Completing User Stories</w:t>
      </w:r>
    </w:p>
    <w:p w14:paraId="59939E17" w14:textId="77777777" w:rsidR="00CD4723" w:rsidRPr="00CD4723" w:rsidRDefault="00CD4723" w:rsidP="00CD4723">
      <w:pPr>
        <w:spacing w:line="480" w:lineRule="auto"/>
        <w:rPr>
          <w:rFonts w:ascii="Times New Roman" w:hAnsi="Times New Roman" w:cs="Times New Roman"/>
        </w:rPr>
      </w:pPr>
    </w:p>
    <w:p w14:paraId="6B80702D" w14:textId="77777777" w:rsid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lastRenderedPageBreak/>
        <w:t>Agile methodologies encouraged teamwork in completing user stories through feedback and constant refinement. When writing user stories, we used clear, understandable instructions, using wording such as “so that I can …”. These instructions provided the team with clear directions and a better understanding of the features we were trying to develop. These practices enhance communication, enabling teams to focus not just on the direct task at hand but on the full scope of project goals. Utilizing Sprint Planning, the team can break down a large scope of work into manageable components, and standups allow for early detection of blockers, preventing delays.</w:t>
      </w:r>
    </w:p>
    <w:p w14:paraId="3FAF6A3A" w14:textId="395C529A" w:rsidR="00CD4723" w:rsidRP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Up-front communication only reinforces the stories as a developer and tester. Test cases for the features designed during testing, revealed more details and necessitated changes in the acceptance criteria at each of the stories. This practice is grounded in Agile principles as described by Martin (n.d.), which emphasize simplicity, collaboration, and the completion of the smallest valuable slices of work. By the end of the planning and refinement process, each story had an apparent Definition of Done with supporting test cases, making the work more predictable and easier to complete.</w:t>
      </w:r>
    </w:p>
    <w:p w14:paraId="3C5E599C" w14:textId="25D9B923" w:rsidR="00CD4723" w:rsidRPr="00CD4723" w:rsidRDefault="00CD4723" w:rsidP="00CD4723">
      <w:pPr>
        <w:spacing w:line="480" w:lineRule="auto"/>
        <w:rPr>
          <w:rFonts w:ascii="Times New Roman" w:hAnsi="Times New Roman" w:cs="Times New Roman"/>
          <w:b/>
          <w:bCs/>
          <w:sz w:val="28"/>
          <w:szCs w:val="28"/>
        </w:rPr>
      </w:pPr>
      <w:r w:rsidRPr="00CD4723">
        <w:rPr>
          <w:rFonts w:ascii="Times New Roman" w:hAnsi="Times New Roman" w:cs="Times New Roman"/>
          <w:b/>
          <w:bCs/>
          <w:sz w:val="28"/>
          <w:szCs w:val="28"/>
        </w:rPr>
        <w:t>Handling Interruptions</w:t>
      </w:r>
    </w:p>
    <w:p w14:paraId="55B16A67" w14:textId="77777777" w:rsid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The course materials and assignments have shown that Agile methods encourage and welcome change instead of resisting it. It is assumed within Agile that requirements will change, a paradigm that is reinforced with an example that requires reassessment of user expectations and adjustment based on that.</w:t>
      </w:r>
    </w:p>
    <w:p w14:paraId="51F167A6" w14:textId="4CF45D70" w:rsidR="00CD4723" w:rsidRP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 xml:space="preserve">For instance, understanding the behavior required for the destination slideshow clearly illustrated how questions and acceptance criteria can be useful for adapting the focus of </w:t>
      </w:r>
      <w:r w:rsidRPr="00CD4723">
        <w:rPr>
          <w:rFonts w:ascii="Times New Roman" w:hAnsi="Times New Roman" w:cs="Times New Roman"/>
        </w:rPr>
        <w:lastRenderedPageBreak/>
        <w:t>development without abandoning previous efforts. All these aspects appear flexible enough and embody the various Agile Manifestos that prioritize responding to changes compared to following a plan. Even for a simulated scenario, all these factors have been useful.</w:t>
      </w:r>
    </w:p>
    <w:p w14:paraId="78376249" w14:textId="3562079B" w:rsidR="00CD4723" w:rsidRPr="00CD4723" w:rsidRDefault="00CD4723" w:rsidP="00CD4723">
      <w:pPr>
        <w:spacing w:line="480" w:lineRule="auto"/>
        <w:rPr>
          <w:rFonts w:ascii="Times New Roman" w:hAnsi="Times New Roman" w:cs="Times New Roman"/>
          <w:b/>
          <w:bCs/>
          <w:sz w:val="28"/>
          <w:szCs w:val="28"/>
        </w:rPr>
      </w:pPr>
      <w:r w:rsidRPr="00CD4723">
        <w:rPr>
          <w:rFonts w:ascii="Times New Roman" w:hAnsi="Times New Roman" w:cs="Times New Roman"/>
          <w:b/>
          <w:bCs/>
          <w:sz w:val="28"/>
          <w:szCs w:val="28"/>
        </w:rPr>
        <w:t>Communication</w:t>
      </w:r>
    </w:p>
    <w:p w14:paraId="782DE95E" w14:textId="77777777" w:rsid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Communication stood out as an important consideration throughout the course and served a vital role in understanding success with Agile. Creating written communications, including emails sent for clarification by a Product Owner or a tester, highlighted the importance and roles of specific communication channels. Written communications act as a reference for refinement and subsequent decisions.</w:t>
      </w:r>
    </w:p>
    <w:p w14:paraId="155E089E" w14:textId="77F6418C" w:rsidR="00CD4723" w:rsidRP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Concepts from the Daily Scrum reinforced the importance of ensuring there were safe spaces for updates and feedback. Both Hovde and Threatt (2025) argue that technical communication is imperative in Agile settings, particularly amid changes in priorities and requirements. The assignments within this course have shown just how imperative it is for short and respectful communications.</w:t>
      </w:r>
    </w:p>
    <w:p w14:paraId="776ABF62" w14:textId="77777777" w:rsidR="00CD4723" w:rsidRPr="00CD4723" w:rsidRDefault="00CD4723" w:rsidP="00CD4723">
      <w:pPr>
        <w:spacing w:line="480" w:lineRule="auto"/>
        <w:rPr>
          <w:rFonts w:ascii="Times New Roman" w:hAnsi="Times New Roman" w:cs="Times New Roman"/>
          <w:b/>
          <w:bCs/>
          <w:sz w:val="28"/>
          <w:szCs w:val="28"/>
        </w:rPr>
      </w:pPr>
      <w:r w:rsidRPr="00CD4723">
        <w:rPr>
          <w:rFonts w:ascii="Times New Roman" w:hAnsi="Times New Roman" w:cs="Times New Roman"/>
          <w:b/>
          <w:bCs/>
          <w:sz w:val="28"/>
          <w:szCs w:val="28"/>
        </w:rPr>
        <w:t>Organizational Tools</w:t>
      </w:r>
    </w:p>
    <w:p w14:paraId="3532CB2B" w14:textId="77777777" w:rsidR="00CD4723" w:rsidRDefault="00CD4723" w:rsidP="00CD4723">
      <w:pPr>
        <w:spacing w:line="480" w:lineRule="auto"/>
        <w:ind w:firstLine="720"/>
        <w:rPr>
          <w:rFonts w:ascii="Times New Roman" w:hAnsi="Times New Roman" w:cs="Times New Roman"/>
          <w:b/>
          <w:bCs/>
        </w:rPr>
      </w:pPr>
      <w:r w:rsidRPr="00CD4723">
        <w:rPr>
          <w:rFonts w:ascii="Times New Roman" w:hAnsi="Times New Roman" w:cs="Times New Roman"/>
        </w:rPr>
        <w:t>The organizational practices covered throughout the course have aided in understanding Agile team alignment. Backlog refinement guaranteed identifiable and properly prioritized user stories, while Sprint planning offered scope and objectives. Daily standups provide visibility and accountable efforts, and test cases promote the Definitions of Done.</w:t>
      </w:r>
    </w:p>
    <w:p w14:paraId="71FBBCEB" w14:textId="78A8EE5C" w:rsidR="00CD4723" w:rsidRPr="00CD4723" w:rsidRDefault="00CD4723" w:rsidP="00CD4723">
      <w:pPr>
        <w:spacing w:line="480" w:lineRule="auto"/>
        <w:ind w:firstLine="720"/>
        <w:rPr>
          <w:rFonts w:ascii="Times New Roman" w:hAnsi="Times New Roman" w:cs="Times New Roman"/>
          <w:b/>
          <w:bCs/>
        </w:rPr>
      </w:pPr>
      <w:r w:rsidRPr="00CD4723">
        <w:rPr>
          <w:rFonts w:ascii="Times New Roman" w:hAnsi="Times New Roman" w:cs="Times New Roman"/>
        </w:rPr>
        <w:t xml:space="preserve">Although formal tools such as Jira, Trello, or GitHub Projects were not directly used, research on these tools demonstrated that visibility into workflows, acceptance criteria, and </w:t>
      </w:r>
      <w:r w:rsidRPr="00CD4723">
        <w:rPr>
          <w:rFonts w:ascii="Times New Roman" w:hAnsi="Times New Roman" w:cs="Times New Roman"/>
        </w:rPr>
        <w:lastRenderedPageBreak/>
        <w:t>progress can enhance team efficiency. Even without these tools, applying Agile principles and the events conceptually reinforced the importance of structure and transparency.</w:t>
      </w:r>
    </w:p>
    <w:p w14:paraId="618B8A04" w14:textId="77777777" w:rsidR="00CD4723" w:rsidRPr="00CD4723" w:rsidRDefault="00CD4723" w:rsidP="00CD4723">
      <w:pPr>
        <w:spacing w:line="480" w:lineRule="auto"/>
        <w:rPr>
          <w:rFonts w:ascii="Times New Roman" w:hAnsi="Times New Roman" w:cs="Times New Roman"/>
          <w:b/>
          <w:bCs/>
          <w:sz w:val="28"/>
          <w:szCs w:val="28"/>
        </w:rPr>
      </w:pPr>
      <w:r w:rsidRPr="00CD4723">
        <w:rPr>
          <w:rFonts w:ascii="Times New Roman" w:hAnsi="Times New Roman" w:cs="Times New Roman"/>
          <w:b/>
          <w:bCs/>
          <w:sz w:val="28"/>
          <w:szCs w:val="28"/>
        </w:rPr>
        <w:t>Evaluating the Agile Process</w:t>
      </w:r>
    </w:p>
    <w:p w14:paraId="142203BE" w14:textId="77777777" w:rsidR="00CD4723"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Together, Agile methods were very appropriate for the project scenario involving SNHU Travel. The nature of Agile allows for feature enhancement, like destination slide shows and recommendation systems. Also, collaboration among various roles, despite being examined via role perspective views, is encouraged.</w:t>
      </w:r>
    </w:p>
    <w:p w14:paraId="784F33B5" w14:textId="722BC499" w:rsidR="00A26CC8" w:rsidRPr="00EE33D4" w:rsidRDefault="00CD4723" w:rsidP="00CD4723">
      <w:pPr>
        <w:spacing w:line="480" w:lineRule="auto"/>
        <w:ind w:firstLine="720"/>
        <w:rPr>
          <w:rFonts w:ascii="Times New Roman" w:hAnsi="Times New Roman" w:cs="Times New Roman"/>
        </w:rPr>
      </w:pPr>
      <w:r w:rsidRPr="00CD4723">
        <w:rPr>
          <w:rFonts w:ascii="Times New Roman" w:hAnsi="Times New Roman" w:cs="Times New Roman"/>
        </w:rPr>
        <w:t>There were learning factors as well. It requires consistent communication and practice, and without that, there could be misunderstandings. Creating user stories and test cases might seem a slow process at first, but it would eventually save time on repeated efforts. Because of the dynamic requirements and changes in presentation format, an Agile method would be more appropriate than the Waterfall model. There would be adaptability and emphasis on improvements with Agile.</w:t>
      </w:r>
    </w:p>
    <w:p w14:paraId="66DC11B4" w14:textId="77777777" w:rsidR="00A26CC8" w:rsidRPr="00EE33D4" w:rsidRDefault="00A26CC8" w:rsidP="00EE33D4">
      <w:pPr>
        <w:rPr>
          <w:rFonts w:ascii="Times New Roman" w:hAnsi="Times New Roman" w:cs="Times New Roman"/>
        </w:rPr>
      </w:pPr>
    </w:p>
    <w:p w14:paraId="4EBC6C02" w14:textId="77777777" w:rsidR="00A26CC8" w:rsidRPr="00EE33D4" w:rsidRDefault="00A26CC8" w:rsidP="00EE33D4">
      <w:pPr>
        <w:rPr>
          <w:rFonts w:ascii="Times New Roman" w:hAnsi="Times New Roman" w:cs="Times New Roman"/>
        </w:rPr>
      </w:pPr>
    </w:p>
    <w:p w14:paraId="632ED260" w14:textId="77777777" w:rsidR="00A26CC8" w:rsidRPr="00EE33D4" w:rsidRDefault="00A26CC8" w:rsidP="00EE33D4">
      <w:pPr>
        <w:rPr>
          <w:rFonts w:ascii="Times New Roman" w:hAnsi="Times New Roman" w:cs="Times New Roman"/>
        </w:rPr>
      </w:pPr>
    </w:p>
    <w:p w14:paraId="1DA24D94" w14:textId="77777777" w:rsidR="00A26CC8" w:rsidRPr="00EE33D4" w:rsidRDefault="00A26CC8" w:rsidP="00EE33D4">
      <w:pPr>
        <w:rPr>
          <w:rFonts w:ascii="Times New Roman" w:hAnsi="Times New Roman" w:cs="Times New Roman"/>
        </w:rPr>
      </w:pPr>
    </w:p>
    <w:p w14:paraId="2F6962F2" w14:textId="77777777" w:rsidR="00A26CC8" w:rsidRPr="00EE33D4" w:rsidRDefault="00A26CC8" w:rsidP="00EE33D4">
      <w:pPr>
        <w:rPr>
          <w:rFonts w:ascii="Times New Roman" w:hAnsi="Times New Roman" w:cs="Times New Roman"/>
        </w:rPr>
      </w:pPr>
    </w:p>
    <w:p w14:paraId="011D7084" w14:textId="77777777" w:rsidR="00CD4723" w:rsidRDefault="00CD4723" w:rsidP="00EE33D4">
      <w:pPr>
        <w:rPr>
          <w:rFonts w:ascii="Times New Roman" w:hAnsi="Times New Roman" w:cs="Times New Roman"/>
        </w:rPr>
      </w:pPr>
    </w:p>
    <w:p w14:paraId="7163CA60" w14:textId="77777777" w:rsidR="00CD4723" w:rsidRDefault="00CD4723" w:rsidP="00EE33D4">
      <w:pPr>
        <w:rPr>
          <w:rFonts w:ascii="Times New Roman" w:hAnsi="Times New Roman" w:cs="Times New Roman"/>
        </w:rPr>
      </w:pPr>
    </w:p>
    <w:p w14:paraId="6E27C253" w14:textId="77777777" w:rsidR="00CD4723" w:rsidRDefault="00CD4723" w:rsidP="00EE33D4">
      <w:pPr>
        <w:rPr>
          <w:rFonts w:ascii="Times New Roman" w:hAnsi="Times New Roman" w:cs="Times New Roman"/>
        </w:rPr>
      </w:pPr>
    </w:p>
    <w:p w14:paraId="4B72C462" w14:textId="77777777" w:rsidR="00CD4723" w:rsidRDefault="00CD4723" w:rsidP="00EE33D4">
      <w:pPr>
        <w:rPr>
          <w:rFonts w:ascii="Times New Roman" w:hAnsi="Times New Roman" w:cs="Times New Roman"/>
        </w:rPr>
      </w:pPr>
    </w:p>
    <w:p w14:paraId="3DBD4FCD" w14:textId="77777777" w:rsidR="00CD4723" w:rsidRDefault="00CD4723" w:rsidP="00EE33D4">
      <w:pPr>
        <w:rPr>
          <w:rFonts w:ascii="Times New Roman" w:hAnsi="Times New Roman" w:cs="Times New Roman"/>
        </w:rPr>
      </w:pPr>
    </w:p>
    <w:p w14:paraId="1FC57D48" w14:textId="77777777" w:rsidR="00CD4723" w:rsidRDefault="00CD4723" w:rsidP="00EE33D4">
      <w:pPr>
        <w:rPr>
          <w:rFonts w:ascii="Times New Roman" w:hAnsi="Times New Roman" w:cs="Times New Roman"/>
        </w:rPr>
      </w:pPr>
    </w:p>
    <w:p w14:paraId="7239F665" w14:textId="35D19F5A" w:rsidR="00734432" w:rsidRPr="00EE33D4" w:rsidRDefault="00734432" w:rsidP="00CD4723">
      <w:pPr>
        <w:spacing w:line="480" w:lineRule="auto"/>
        <w:rPr>
          <w:rFonts w:ascii="Times New Roman" w:hAnsi="Times New Roman" w:cs="Times New Roman"/>
        </w:rPr>
      </w:pPr>
      <w:r w:rsidRPr="00EE33D4">
        <w:rPr>
          <w:rFonts w:ascii="Times New Roman" w:hAnsi="Times New Roman" w:cs="Times New Roman"/>
        </w:rPr>
        <w:t>Reference</w:t>
      </w:r>
      <w:r w:rsidR="00CD4723">
        <w:rPr>
          <w:rFonts w:ascii="Times New Roman" w:hAnsi="Times New Roman" w:cs="Times New Roman"/>
        </w:rPr>
        <w:t>s</w:t>
      </w:r>
      <w:r w:rsidRPr="00EE33D4">
        <w:rPr>
          <w:rFonts w:ascii="Times New Roman" w:hAnsi="Times New Roman" w:cs="Times New Roman"/>
        </w:rPr>
        <w:t>:</w:t>
      </w:r>
    </w:p>
    <w:p w14:paraId="0296A57A" w14:textId="2B9E47EC" w:rsidR="00734432" w:rsidRPr="00EE33D4" w:rsidRDefault="00734432" w:rsidP="00CD4723">
      <w:pPr>
        <w:spacing w:line="480" w:lineRule="auto"/>
        <w:ind w:left="720" w:hanging="720"/>
        <w:rPr>
          <w:rFonts w:ascii="Times New Roman" w:hAnsi="Times New Roman" w:cs="Times New Roman"/>
        </w:rPr>
      </w:pPr>
      <w:r w:rsidRPr="00EE33D4">
        <w:rPr>
          <w:rFonts w:ascii="Times New Roman" w:hAnsi="Times New Roman" w:cs="Times New Roman"/>
        </w:rPr>
        <w:t>Cobb, C. G. (2015). The project manager’s guide to mastering Agile: Principles and practices for an adaptive approach. Wiley.</w:t>
      </w:r>
    </w:p>
    <w:p w14:paraId="6856FACE" w14:textId="77777777" w:rsidR="00734432" w:rsidRPr="00EE33D4" w:rsidRDefault="00734432" w:rsidP="00CD4723">
      <w:pPr>
        <w:spacing w:line="480" w:lineRule="auto"/>
        <w:ind w:left="720" w:hanging="720"/>
        <w:rPr>
          <w:rFonts w:ascii="Times New Roman" w:hAnsi="Times New Roman" w:cs="Times New Roman"/>
        </w:rPr>
      </w:pPr>
      <w:r w:rsidRPr="00EE33D4">
        <w:rPr>
          <w:rFonts w:ascii="Times New Roman" w:hAnsi="Times New Roman" w:cs="Times New Roman"/>
        </w:rPr>
        <w:t xml:space="preserve">Martin, R. C. (n.d.). Clean Agile: Back to Basics. Retrieved from </w:t>
      </w:r>
      <w:hyperlink r:id="rId7" w:history="1">
        <w:r w:rsidRPr="00EE33D4">
          <w:rPr>
            <w:rStyle w:val="Hyperlink"/>
            <w:rFonts w:ascii="Times New Roman" w:hAnsi="Times New Roman" w:cs="Times New Roman"/>
          </w:rPr>
          <w:t>https://</w:t>
        </w:r>
      </w:hyperlink>
      <w:hyperlink r:id="rId8" w:history="1">
        <w:r w:rsidRPr="00EE33D4">
          <w:rPr>
            <w:rStyle w:val="Hyperlink"/>
            <w:rFonts w:ascii="Times New Roman" w:hAnsi="Times New Roman" w:cs="Times New Roman"/>
          </w:rPr>
          <w:t>learning.oreilly.com</w:t>
        </w:r>
      </w:hyperlink>
      <w:hyperlink r:id="rId9" w:history="1">
        <w:r w:rsidRPr="00EE33D4">
          <w:rPr>
            <w:rStyle w:val="Hyperlink"/>
            <w:rFonts w:ascii="Times New Roman" w:hAnsi="Times New Roman" w:cs="Times New Roman"/>
          </w:rPr>
          <w:t>/library/view/clean-agile-</w:t>
        </w:r>
        <w:r w:rsidRPr="00EE33D4">
          <w:rPr>
            <w:rStyle w:val="Hyperlink"/>
            <w:rFonts w:ascii="Times New Roman" w:hAnsi="Times New Roman" w:cs="Times New Roman"/>
          </w:rPr>
          <w:t>b</w:t>
        </w:r>
        <w:r w:rsidRPr="00EE33D4">
          <w:rPr>
            <w:rStyle w:val="Hyperlink"/>
            <w:rFonts w:ascii="Times New Roman" w:hAnsi="Times New Roman" w:cs="Times New Roman"/>
          </w:rPr>
          <w:t>ack/9780135782002/ch05.xhtml#ch05lev1sec1</w:t>
        </w:r>
      </w:hyperlink>
    </w:p>
    <w:p w14:paraId="6BE0A799" w14:textId="3A30CB11" w:rsidR="00734432" w:rsidRPr="00EE33D4" w:rsidRDefault="0094712E" w:rsidP="004A2AAF">
      <w:pPr>
        <w:pStyle w:val="p1"/>
        <w:spacing w:line="480" w:lineRule="auto"/>
        <w:ind w:left="720" w:hanging="720"/>
      </w:pPr>
      <w:r>
        <w:t>Beck et al.</w:t>
      </w:r>
      <w:r w:rsidR="004A2AAF">
        <w:t xml:space="preserve"> </w:t>
      </w:r>
      <w:r w:rsidR="00734432" w:rsidRPr="00EE33D4">
        <w:t xml:space="preserve">(N.d.). The Agile Manifesto. Retrieved from </w:t>
      </w:r>
      <w:hyperlink r:id="rId10" w:history="1">
        <w:r w:rsidR="00734432" w:rsidRPr="00EE33D4">
          <w:rPr>
            <w:rStyle w:val="Hyperlink"/>
          </w:rPr>
          <w:t>https://www.pmi.org/disciplined-agile/agile/theagilemanifesto</w:t>
        </w:r>
      </w:hyperlink>
    </w:p>
    <w:p w14:paraId="248A859B" w14:textId="77777777" w:rsidR="00734432" w:rsidRPr="00EE33D4" w:rsidRDefault="00734432" w:rsidP="00CD4723">
      <w:pPr>
        <w:spacing w:line="480" w:lineRule="auto"/>
        <w:ind w:left="720" w:hanging="720"/>
        <w:rPr>
          <w:rFonts w:ascii="Times New Roman" w:hAnsi="Times New Roman" w:cs="Times New Roman"/>
        </w:rPr>
      </w:pPr>
      <w:r w:rsidRPr="00EE33D4">
        <w:rPr>
          <w:rFonts w:ascii="Times New Roman" w:hAnsi="Times New Roman" w:cs="Times New Roman"/>
        </w:rPr>
        <w:t xml:space="preserve">Hovde, M. R., &amp; Threatt, B. (2025). The Nature and Indispensable Roles of Technical Communication in Agile Development Environments: Following Typical Processes and Adapting to Address Challenges. IEEE Transactions on Professional Communication, Professional Communication, IEEE Transactions on, IEEE Trans. Profess. Commun, 68(3), 302–321. </w:t>
      </w:r>
      <w:hyperlink r:id="rId11" w:history="1">
        <w:r w:rsidRPr="00EE33D4">
          <w:rPr>
            <w:rStyle w:val="Hyperlink"/>
            <w:rFonts w:ascii="Times New Roman" w:hAnsi="Times New Roman" w:cs="Times New Roman"/>
          </w:rPr>
          <w:t>https://</w:t>
        </w:r>
      </w:hyperlink>
      <w:hyperlink r:id="rId12" w:history="1">
        <w:r w:rsidRPr="00EE33D4">
          <w:rPr>
            <w:rStyle w:val="Hyperlink"/>
            <w:rFonts w:ascii="Times New Roman" w:hAnsi="Times New Roman" w:cs="Times New Roman"/>
          </w:rPr>
          <w:t>doi.org</w:t>
        </w:r>
      </w:hyperlink>
      <w:hyperlink r:id="rId13" w:history="1">
        <w:r w:rsidRPr="00EE33D4">
          <w:rPr>
            <w:rStyle w:val="Hyperlink"/>
            <w:rFonts w:ascii="Times New Roman" w:hAnsi="Times New Roman" w:cs="Times New Roman"/>
          </w:rPr>
          <w:t>/10.1109/TPC.2025.3585658</w:t>
        </w:r>
      </w:hyperlink>
    </w:p>
    <w:p w14:paraId="1B70BD95" w14:textId="77777777" w:rsidR="0035572D" w:rsidRPr="00EE33D4" w:rsidRDefault="0035572D" w:rsidP="00EE33D4">
      <w:pPr>
        <w:rPr>
          <w:rFonts w:ascii="Times New Roman" w:hAnsi="Times New Roman" w:cs="Times New Roman"/>
        </w:rPr>
      </w:pPr>
    </w:p>
    <w:sectPr w:rsidR="0035572D" w:rsidRPr="00EE33D4" w:rsidSect="00524AC5">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CD674" w14:textId="77777777" w:rsidR="00B746D3" w:rsidRDefault="00B746D3" w:rsidP="00734432">
      <w:pPr>
        <w:spacing w:after="0" w:line="240" w:lineRule="auto"/>
      </w:pPr>
      <w:r>
        <w:separator/>
      </w:r>
    </w:p>
  </w:endnote>
  <w:endnote w:type="continuationSeparator" w:id="0">
    <w:p w14:paraId="5C717C5B" w14:textId="77777777" w:rsidR="00B746D3" w:rsidRDefault="00B746D3" w:rsidP="0073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BB4D" w14:textId="77777777" w:rsidR="00B746D3" w:rsidRDefault="00B746D3" w:rsidP="00734432">
      <w:pPr>
        <w:spacing w:after="0" w:line="240" w:lineRule="auto"/>
      </w:pPr>
      <w:r>
        <w:separator/>
      </w:r>
    </w:p>
  </w:footnote>
  <w:footnote w:type="continuationSeparator" w:id="0">
    <w:p w14:paraId="31BCF4DF" w14:textId="77777777" w:rsidR="00B746D3" w:rsidRDefault="00B746D3" w:rsidP="00734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B26F" w14:textId="223A192C" w:rsidR="00734432" w:rsidRDefault="00734432" w:rsidP="00734432">
    <w:pPr>
      <w:pStyle w:val="Header"/>
      <w:jc w:val="center"/>
    </w:pPr>
    <w:r w:rsidRPr="005A4CC3">
      <w:rPr>
        <w:rFonts w:ascii="Arial" w:eastAsia="Arial" w:hAnsi="Arial" w:cs="Arial"/>
        <w:noProof/>
        <w:lang w:val="en"/>
      </w:rPr>
      <w:drawing>
        <wp:inline distT="0" distB="0" distL="0" distR="0" wp14:anchorId="29E46DE0" wp14:editId="3B57E964">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0E5"/>
    <w:multiLevelType w:val="hybridMultilevel"/>
    <w:tmpl w:val="8D7073B6"/>
    <w:lvl w:ilvl="0" w:tplc="70C21B6E">
      <w:start w:val="1"/>
      <w:numFmt w:val="bullet"/>
      <w:lvlText w:val="•"/>
      <w:lvlJc w:val="left"/>
      <w:pPr>
        <w:tabs>
          <w:tab w:val="num" w:pos="720"/>
        </w:tabs>
        <w:ind w:left="720" w:hanging="360"/>
      </w:pPr>
      <w:rPr>
        <w:rFonts w:ascii="Arial" w:hAnsi="Arial" w:hint="default"/>
      </w:rPr>
    </w:lvl>
    <w:lvl w:ilvl="1" w:tplc="C4580818" w:tentative="1">
      <w:start w:val="1"/>
      <w:numFmt w:val="bullet"/>
      <w:lvlText w:val="•"/>
      <w:lvlJc w:val="left"/>
      <w:pPr>
        <w:tabs>
          <w:tab w:val="num" w:pos="1440"/>
        </w:tabs>
        <w:ind w:left="1440" w:hanging="360"/>
      </w:pPr>
      <w:rPr>
        <w:rFonts w:ascii="Arial" w:hAnsi="Arial" w:hint="default"/>
      </w:rPr>
    </w:lvl>
    <w:lvl w:ilvl="2" w:tplc="DC7E6964" w:tentative="1">
      <w:start w:val="1"/>
      <w:numFmt w:val="bullet"/>
      <w:lvlText w:val="•"/>
      <w:lvlJc w:val="left"/>
      <w:pPr>
        <w:tabs>
          <w:tab w:val="num" w:pos="2160"/>
        </w:tabs>
        <w:ind w:left="2160" w:hanging="360"/>
      </w:pPr>
      <w:rPr>
        <w:rFonts w:ascii="Arial" w:hAnsi="Arial" w:hint="default"/>
      </w:rPr>
    </w:lvl>
    <w:lvl w:ilvl="3" w:tplc="A0AC6046" w:tentative="1">
      <w:start w:val="1"/>
      <w:numFmt w:val="bullet"/>
      <w:lvlText w:val="•"/>
      <w:lvlJc w:val="left"/>
      <w:pPr>
        <w:tabs>
          <w:tab w:val="num" w:pos="2880"/>
        </w:tabs>
        <w:ind w:left="2880" w:hanging="360"/>
      </w:pPr>
      <w:rPr>
        <w:rFonts w:ascii="Arial" w:hAnsi="Arial" w:hint="default"/>
      </w:rPr>
    </w:lvl>
    <w:lvl w:ilvl="4" w:tplc="D75802A2" w:tentative="1">
      <w:start w:val="1"/>
      <w:numFmt w:val="bullet"/>
      <w:lvlText w:val="•"/>
      <w:lvlJc w:val="left"/>
      <w:pPr>
        <w:tabs>
          <w:tab w:val="num" w:pos="3600"/>
        </w:tabs>
        <w:ind w:left="3600" w:hanging="360"/>
      </w:pPr>
      <w:rPr>
        <w:rFonts w:ascii="Arial" w:hAnsi="Arial" w:hint="default"/>
      </w:rPr>
    </w:lvl>
    <w:lvl w:ilvl="5" w:tplc="7502386C" w:tentative="1">
      <w:start w:val="1"/>
      <w:numFmt w:val="bullet"/>
      <w:lvlText w:val="•"/>
      <w:lvlJc w:val="left"/>
      <w:pPr>
        <w:tabs>
          <w:tab w:val="num" w:pos="4320"/>
        </w:tabs>
        <w:ind w:left="4320" w:hanging="360"/>
      </w:pPr>
      <w:rPr>
        <w:rFonts w:ascii="Arial" w:hAnsi="Arial" w:hint="default"/>
      </w:rPr>
    </w:lvl>
    <w:lvl w:ilvl="6" w:tplc="D818CF62" w:tentative="1">
      <w:start w:val="1"/>
      <w:numFmt w:val="bullet"/>
      <w:lvlText w:val="•"/>
      <w:lvlJc w:val="left"/>
      <w:pPr>
        <w:tabs>
          <w:tab w:val="num" w:pos="5040"/>
        </w:tabs>
        <w:ind w:left="5040" w:hanging="360"/>
      </w:pPr>
      <w:rPr>
        <w:rFonts w:ascii="Arial" w:hAnsi="Arial" w:hint="default"/>
      </w:rPr>
    </w:lvl>
    <w:lvl w:ilvl="7" w:tplc="6F8811C4" w:tentative="1">
      <w:start w:val="1"/>
      <w:numFmt w:val="bullet"/>
      <w:lvlText w:val="•"/>
      <w:lvlJc w:val="left"/>
      <w:pPr>
        <w:tabs>
          <w:tab w:val="num" w:pos="5760"/>
        </w:tabs>
        <w:ind w:left="5760" w:hanging="360"/>
      </w:pPr>
      <w:rPr>
        <w:rFonts w:ascii="Arial" w:hAnsi="Arial" w:hint="default"/>
      </w:rPr>
    </w:lvl>
    <w:lvl w:ilvl="8" w:tplc="FD32132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0326458"/>
    <w:multiLevelType w:val="multilevel"/>
    <w:tmpl w:val="BBC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613316">
    <w:abstractNumId w:val="0"/>
  </w:num>
  <w:num w:numId="2" w16cid:durableId="1970433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32"/>
    <w:rsid w:val="00062ACA"/>
    <w:rsid w:val="000B4074"/>
    <w:rsid w:val="001C61E6"/>
    <w:rsid w:val="001E6A46"/>
    <w:rsid w:val="002A0907"/>
    <w:rsid w:val="002C6421"/>
    <w:rsid w:val="0035572D"/>
    <w:rsid w:val="00382F96"/>
    <w:rsid w:val="00487B13"/>
    <w:rsid w:val="00491028"/>
    <w:rsid w:val="004A2AAF"/>
    <w:rsid w:val="004F1D7C"/>
    <w:rsid w:val="00524AC5"/>
    <w:rsid w:val="005B191D"/>
    <w:rsid w:val="006006B1"/>
    <w:rsid w:val="00632CD2"/>
    <w:rsid w:val="00633CB6"/>
    <w:rsid w:val="006B788F"/>
    <w:rsid w:val="006F7699"/>
    <w:rsid w:val="00734432"/>
    <w:rsid w:val="007C5155"/>
    <w:rsid w:val="00926803"/>
    <w:rsid w:val="0094712E"/>
    <w:rsid w:val="00A226AA"/>
    <w:rsid w:val="00A26CC8"/>
    <w:rsid w:val="00A359FF"/>
    <w:rsid w:val="00B730E5"/>
    <w:rsid w:val="00B746D3"/>
    <w:rsid w:val="00BE2C36"/>
    <w:rsid w:val="00C64A90"/>
    <w:rsid w:val="00CD4723"/>
    <w:rsid w:val="00D44BD3"/>
    <w:rsid w:val="00D97F87"/>
    <w:rsid w:val="00E93AA1"/>
    <w:rsid w:val="00EE33D4"/>
    <w:rsid w:val="00F15555"/>
    <w:rsid w:val="00F16265"/>
    <w:rsid w:val="00F22060"/>
    <w:rsid w:val="00F44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8476C"/>
  <w15:chartTrackingRefBased/>
  <w15:docId w15:val="{D29E48D4-ECA2-9D4B-A713-19E17A35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432"/>
    <w:rPr>
      <w:rFonts w:eastAsiaTheme="majorEastAsia" w:cstheme="majorBidi"/>
      <w:color w:val="272727" w:themeColor="text1" w:themeTint="D8"/>
    </w:rPr>
  </w:style>
  <w:style w:type="paragraph" w:styleId="Title">
    <w:name w:val="Title"/>
    <w:basedOn w:val="Normal"/>
    <w:next w:val="Normal"/>
    <w:link w:val="TitleChar"/>
    <w:uiPriority w:val="10"/>
    <w:qFormat/>
    <w:rsid w:val="0073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432"/>
    <w:pPr>
      <w:spacing w:before="160"/>
      <w:jc w:val="center"/>
    </w:pPr>
    <w:rPr>
      <w:i/>
      <w:iCs/>
      <w:color w:val="404040" w:themeColor="text1" w:themeTint="BF"/>
    </w:rPr>
  </w:style>
  <w:style w:type="character" w:customStyle="1" w:styleId="QuoteChar">
    <w:name w:val="Quote Char"/>
    <w:basedOn w:val="DefaultParagraphFont"/>
    <w:link w:val="Quote"/>
    <w:uiPriority w:val="29"/>
    <w:rsid w:val="00734432"/>
    <w:rPr>
      <w:i/>
      <w:iCs/>
      <w:color w:val="404040" w:themeColor="text1" w:themeTint="BF"/>
    </w:rPr>
  </w:style>
  <w:style w:type="paragraph" w:styleId="ListParagraph">
    <w:name w:val="List Paragraph"/>
    <w:basedOn w:val="Normal"/>
    <w:uiPriority w:val="34"/>
    <w:qFormat/>
    <w:rsid w:val="00734432"/>
    <w:pPr>
      <w:ind w:left="720"/>
      <w:contextualSpacing/>
    </w:pPr>
  </w:style>
  <w:style w:type="character" w:styleId="IntenseEmphasis">
    <w:name w:val="Intense Emphasis"/>
    <w:basedOn w:val="DefaultParagraphFont"/>
    <w:uiPriority w:val="21"/>
    <w:qFormat/>
    <w:rsid w:val="00734432"/>
    <w:rPr>
      <w:i/>
      <w:iCs/>
      <w:color w:val="0F4761" w:themeColor="accent1" w:themeShade="BF"/>
    </w:rPr>
  </w:style>
  <w:style w:type="paragraph" w:styleId="IntenseQuote">
    <w:name w:val="Intense Quote"/>
    <w:basedOn w:val="Normal"/>
    <w:next w:val="Normal"/>
    <w:link w:val="IntenseQuoteChar"/>
    <w:uiPriority w:val="30"/>
    <w:qFormat/>
    <w:rsid w:val="00734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432"/>
    <w:rPr>
      <w:i/>
      <w:iCs/>
      <w:color w:val="0F4761" w:themeColor="accent1" w:themeShade="BF"/>
    </w:rPr>
  </w:style>
  <w:style w:type="character" w:styleId="IntenseReference">
    <w:name w:val="Intense Reference"/>
    <w:basedOn w:val="DefaultParagraphFont"/>
    <w:uiPriority w:val="32"/>
    <w:qFormat/>
    <w:rsid w:val="00734432"/>
    <w:rPr>
      <w:b/>
      <w:bCs/>
      <w:smallCaps/>
      <w:color w:val="0F4761" w:themeColor="accent1" w:themeShade="BF"/>
      <w:spacing w:val="5"/>
    </w:rPr>
  </w:style>
  <w:style w:type="character" w:styleId="Hyperlink">
    <w:name w:val="Hyperlink"/>
    <w:basedOn w:val="DefaultParagraphFont"/>
    <w:uiPriority w:val="99"/>
    <w:unhideWhenUsed/>
    <w:rsid w:val="00734432"/>
    <w:rPr>
      <w:color w:val="467886" w:themeColor="hyperlink"/>
      <w:u w:val="single"/>
    </w:rPr>
  </w:style>
  <w:style w:type="character" w:styleId="UnresolvedMention">
    <w:name w:val="Unresolved Mention"/>
    <w:basedOn w:val="DefaultParagraphFont"/>
    <w:uiPriority w:val="99"/>
    <w:semiHidden/>
    <w:unhideWhenUsed/>
    <w:rsid w:val="00734432"/>
    <w:rPr>
      <w:color w:val="605E5C"/>
      <w:shd w:val="clear" w:color="auto" w:fill="E1DFDD"/>
    </w:rPr>
  </w:style>
  <w:style w:type="paragraph" w:styleId="Header">
    <w:name w:val="header"/>
    <w:basedOn w:val="Normal"/>
    <w:link w:val="HeaderChar"/>
    <w:uiPriority w:val="99"/>
    <w:unhideWhenUsed/>
    <w:rsid w:val="00734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432"/>
  </w:style>
  <w:style w:type="paragraph" w:styleId="Footer">
    <w:name w:val="footer"/>
    <w:basedOn w:val="Normal"/>
    <w:link w:val="FooterChar"/>
    <w:uiPriority w:val="99"/>
    <w:unhideWhenUsed/>
    <w:rsid w:val="00734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432"/>
  </w:style>
  <w:style w:type="paragraph" w:styleId="NormalWeb">
    <w:name w:val="Normal (Web)"/>
    <w:basedOn w:val="Normal"/>
    <w:uiPriority w:val="99"/>
    <w:unhideWhenUsed/>
    <w:rsid w:val="006F76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7699"/>
    <w:rPr>
      <w:b/>
      <w:bCs/>
    </w:rPr>
  </w:style>
  <w:style w:type="paragraph" w:customStyle="1" w:styleId="p1">
    <w:name w:val="p1"/>
    <w:basedOn w:val="Normal"/>
    <w:rsid w:val="00A359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359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4A2A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clean-agile-back/9780135782002/ch05.xhtml" TargetMode="External"/><Relationship Id="rId13" Type="http://schemas.openxmlformats.org/officeDocument/2006/relationships/hyperlink" Target="https://doi.org/10.1109/TPC.2025.3585658" TargetMode="External"/><Relationship Id="rId3" Type="http://schemas.openxmlformats.org/officeDocument/2006/relationships/settings" Target="settings.xml"/><Relationship Id="rId7" Type="http://schemas.openxmlformats.org/officeDocument/2006/relationships/hyperlink" Target="https://learning.oreilly.com/library/view/clean-agile-back/9780135782002/ch05.xhtml" TargetMode="External"/><Relationship Id="rId12" Type="http://schemas.openxmlformats.org/officeDocument/2006/relationships/hyperlink" Target="https://doi.org/10.1109/TPC.2025.358565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TPC.2025.358565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pmi.org/disciplined-agile/agile/theagilemanifesto" TargetMode="External"/><Relationship Id="rId4" Type="http://schemas.openxmlformats.org/officeDocument/2006/relationships/webSettings" Target="webSettings.xml"/><Relationship Id="rId9" Type="http://schemas.openxmlformats.org/officeDocument/2006/relationships/hyperlink" Target="https://learning.oreilly.com/library/view/clean-agile-back/9780135782002/ch05.xhtm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Sevy</dc:creator>
  <cp:keywords/>
  <dc:description/>
  <cp:lastModifiedBy>Josh Sevy</cp:lastModifiedBy>
  <cp:revision>4</cp:revision>
  <dcterms:created xsi:type="dcterms:W3CDTF">2025-12-12T06:24:00Z</dcterms:created>
  <dcterms:modified xsi:type="dcterms:W3CDTF">2025-12-12T06:32:00Z</dcterms:modified>
</cp:coreProperties>
</file>