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rPr>
        <w:t xml:space="preserve">Name: </w:t>
      </w:r>
      <w:r>
        <w:t>Josh Johnson</w:t>
      </w:r>
    </w:p>
    <w:p>
      <w:pPr>
        <w:spacing w:after="60"/>
      </w:pPr>
      <w:r>
        <w:rPr>
          <w:b/>
        </w:rPr>
        <w:t xml:space="preserve">Student ID: </w:t>
      </w:r>
      <w:r>
        <w:rPr>
          <w:highlight w:val="yellow"/>
        </w:rPr>
        <w:t>[ADD YOUR STUDENT ID]</w:t>
      </w:r>
    </w:p>
    <w:p>
      <w:pPr>
        <w:spacing w:after="60"/>
      </w:pPr>
      <w:r>
        <w:rPr>
          <w:b/>
        </w:rPr>
        <w:t xml:space="preserve">Module: </w:t>
      </w:r>
      <w:r>
        <w:t>BSc Final Year Final Project: Development</w:t>
      </w:r>
    </w:p>
    <w:p>
      <w:pPr>
        <w:spacing w:after="60"/>
      </w:pPr>
      <w:r>
        <w:rPr>
          <w:b/>
        </w:rPr>
        <w:t xml:space="preserve">Title: </w:t>
      </w:r>
      <w:r>
        <w:t>Counting the Spectrum: An Empirical and Practice-Based Investigation into Mixed-Race Representation in Commercial Video Games</w:t>
      </w:r>
    </w:p>
    <w:p>
      <w:pPr>
        <w:spacing w:after="60"/>
      </w:pPr>
      <w:r>
        <w:rPr>
          <w:b/>
        </w:rPr>
        <w:t xml:space="preserve">Submission folder (OneDrive link): </w:t>
      </w:r>
      <w:r>
        <w:rPr>
          <w:highlight w:val="yellow"/>
        </w:rPr>
        <w:t>[PASTE LINK - sharing set to People in University of East London]</w:t>
      </w:r>
    </w:p>
    <w:p>
      <w:pPr>
        <w:keepNext/>
        <w:spacing w:before="240"/>
      </w:pPr>
      <w:r>
        <w:rPr>
          <w:b/>
        </w:rPr>
        <w:t>1. Topic and rationale (150 words)</w:t>
      </w:r>
    </w:p>
    <w:p>
      <w:r>
        <w:t>Recent demographic analysis indicates that biracial video game characters rose from 1.39% in 2005 to 3.15% in 2017, nominally exceeding earlier US population baselines of 2.13% (Jones et al., 2025). However, headcount parity masks a persistent representational gap. In commercial titles, mixed-race characters are frequently coded only through visual ambiguity, leading players to default to assuming whiteness or racial neutrality rather than recognizing authentic multiracial heritage (Dietrich, 2013). Furthermore, national census benchmarks (2.9% in the UK; 10.2% in the US) obscure generational realities: multiracial populations are heavily concentrated in younger demographics, where mixed youth exceed 5–10% in the UK and 15% in the US - the core video game audience. Despite this demographic presence, mixed characters are virtually absent as primary, playable box-art protagonists. This project investigates whether mixed-race characters are truly represented when scrutinized through explicit narrative canon, playability, and gamer demographics, addressing systemic barriers to ludic immersion (Passmore et al., 2018).</w:t>
      </w:r>
    </w:p>
    <w:p>
      <w:pPr>
        <w:keepNext/>
        <w:spacing w:before="240"/>
      </w:pPr>
      <w:r>
        <w:rPr>
          <w:b/>
        </w:rPr>
        <w:t>2. Research question or hypothesis (75 words)</w:t>
      </w:r>
    </w:p>
    <w:p>
      <w:r>
        <w:t>Across top-selling commercial video games, does mixed-race representation reflect contemporary demographics when evaluated by explicit canonical status, playability, and player perception? I hypothesize that: (1) explicit mixed characters appear at significantly lower rates than ambiguously coded characters; (2) mixed characters face an agency deficit, being virtually absent as primary playable box-art leads (outside isolated figures like Miles Morales) and relegated to secondary roles; and (3) representation lags far behind youth gaming demographics.</w:t>
      </w:r>
    </w:p>
    <w:p>
      <w:pPr>
        <w:keepNext/>
        <w:spacing w:before="240"/>
      </w:pPr>
      <w:r>
        <w:rPr>
          <w:b/>
        </w:rPr>
        <w:t>3. Key sources and background (175 words)</w:t>
      </w:r>
    </w:p>
    <w:p>
      <w:r>
        <w:t>The foundational Virtual Census (Williams et al., 2009) established empirical methodologies for auditing demographic representation in video games, recently expanded by Jones et al. (2025), who identified a nominal increase in biracial characters across top-selling titles. Yet Jones et al. emphasize that their content analysis relies strictly on external coding and promotional paratext, leaving unexplored whether characters possess explicitly stated multicultural heritage. Dietrich (2013) demonstrates how video game character frameworks frequently reinforce normative whiteness, forcing non-white and mixed identities into ambiguous or marginalized spaces. Concurrently, Phillips (2022) observes that multiracial avatars are often instrumentalized as narrative devices for racial reconciliation rather than autonomous, fully realized subjects. Furthermore, Passmore, Birk and Mandryk (2018) demonstrate that marginalized players experience an asymmetrical 'privilege of immersion', where the absence of relatable avatars impedes psychological flow. While existing literature identifies general demographic inequities, no major study cross-references systematic content audits with youth gaming benchmarks, playable lead agency, and direct mixed-race player perception. My project directly addresses this critical gap.</w:t>
      </w:r>
    </w:p>
    <w:p>
      <w:pPr>
        <w:keepNext/>
        <w:spacing w:before="240"/>
      </w:pPr>
      <w:r>
        <w:rPr>
          <w:b/>
        </w:rPr>
        <w:t>4. Methodology (250 words)</w:t>
      </w:r>
    </w:p>
    <w:p>
      <w:r>
        <w:t>This project employs a mixed-methods, practice-informed research design executed across three sequential phases. In Phase 1, to eliminate subjective cherry-picking, I audit an objective commercial sample drawn from official UKIE/GfK and Circana annual sales rankings (2018–2024). A structured codebook audits 100 characters (the primary playable protagonist plus the top four credited supporting cast across 20 commercial titles), evaluating Explicit canon, Implied ambiguity, Box-art lead agency, and demographic alignment against national and youth census baselines (ONS, 2022). A secondary researcher will cross-code a 20% randomized subsample to verify inter-coder reliability using Cohen's kappa. In Phase 2 (practice as research), I synthesize audit findings to design one production-ready flagship multiracial protagonist dossier, featuring explicit dual-heritage lore, facial topology guidelines, and authentic 3C/4A hair render workflows countering commercial ambiguity. In Phase 3, I validate this design through an anonymous online survey of 30 to 50 self-identified mixed-race players. Using an A/B intervention structure, participants evaluate a baseline ambiguous commercial character from the audit against the flagship dossier (assessed visually, then with narrative lore revealed) across semantic differential scales measuring authenticity and relatability. The survey evaluates whether explicit dual-heritage design principles enhance felt representation across diverse multiracial backgrounds, alongside qualitative testimony. In Term 1, I execute a pilot audit of 20 titles and survey pre-testing. Ethics, accessibility, and limitations: Participation is voluntary, anonymized, and GDPR-compliant under informed consent. To protect player psychological safety regarding sensitive discussions of racial marginalization, the survey includes content warnings and unconditional skip/exit options. The instrument adheres to WCAG accessibility guidelines alongside high-contrast visual renders. Intellectual property is respected via fair-dealing academic critique. Potential limitations (online self-selection bias and pilot scope constraints) are mitigated through census cross-validation and transparent reliability reporting.</w:t>
      </w:r>
    </w:p>
    <w:p>
      <w:pPr>
        <w:keepNext/>
        <w:spacing w:before="240"/>
      </w:pPr>
      <w:r>
        <w:rPr>
          <w:b/>
        </w:rPr>
        <w:t>5. Potential outcomes or impacts (150 words)</w:t>
      </w:r>
    </w:p>
    <w:p>
      <w:r>
        <w:t>This research will produce an empirical audit of mixed-race representation across contemporary commercial games, a validated design dossier of a flagship multiracial protagonist, and a survey report demonstrating whether explicit design interventions enhance player immersion. Disseminating these deliverables will directly challenge the gaming industry's frequent reliance on passive racial ambiguity and superficial diversity checklists. For commercial game studios, independent developers, and narrative designers, this study provides an empirically validated, actionable framework for establishing explicit family lineages and authentic cultural depth in character creation pipelines. Societally, this research empowers a growing, historically marginalized demographic by demonstrating that genuine representation requires moving beyond binary racial tropes. By aligning interactive media with modern multicultural realities, this project establishes a practical foundation for equitable ludic immersion and authentic digital identity.</w:t>
      </w:r>
    </w:p>
    <w:p>
      <w:pPr>
        <w:keepNext/>
        <w:spacing w:before="280"/>
      </w:pPr>
      <w:r>
        <w:rPr>
          <w:b/>
        </w:rPr>
        <w:t>References</w:t>
      </w:r>
    </w:p>
    <w:p>
      <w:pPr>
        <w:spacing w:after="80"/>
        <w:ind w:left="567" w:hanging="567"/>
      </w:pPr>
      <w:r>
        <w:t>Dietrich, D.R. (2013) 'Avatars of whiteness: racial expression in video game characters', Sociological Inquiry, 83(1), pp. 82-105. Available at: https://doi.org/10.1111/soin.12001 (Accessed: 14 October 2026).</w:t>
      </w:r>
    </w:p>
    <w:p>
      <w:pPr>
        <w:spacing w:after="80"/>
        <w:ind w:left="567" w:hanging="567"/>
      </w:pPr>
      <w:r>
        <w:t>Jones, S.S.Y., Harrisson, A., Pedraça, S., Marchessault-Brown, J., Williams, D. and Consalvo, M. (2025) 'The virtual census 2.0: a continued investigation on the representations of gender, race, and age in videogames', New Media &amp; Society. Available at: https://doi.org/10.1177/14614448251336427 (Accessed: 14 October 2026).</w:t>
      </w:r>
    </w:p>
    <w:p>
      <w:pPr>
        <w:spacing w:after="80"/>
        <w:ind w:left="567" w:hanging="567"/>
      </w:pPr>
      <w:r>
        <w:t>Office for National Statistics (2022) Ethnic group, England and Wales: Census 2021. Available at: https://www.ons.gov.uk/peoplepopulationandcommunity/culturalidentity/ethnicity/bulletins/ethnicgroupenglandandwales/census2021 (Accessed: 14 October 2026).</w:t>
      </w:r>
    </w:p>
    <w:p>
      <w:pPr>
        <w:spacing w:after="80"/>
        <w:ind w:left="567" w:hanging="567"/>
      </w:pPr>
      <w:r>
        <w:t>Passmore, C.J., Birk, M.V. and Mandryk, R.L. (2018) 'The privilege of immersion: racial and ethnic experiences, perceptions, and beliefs in digital gaming', in Proceedings of the 2018 CHI Conference on Human Factors in Computing Systems (CHI '18). Montreal, QC, Canada: ACM, pp. 1-12. Available at: https://doi.org/10.1145/3173574.3173957 (Accessed: 14 October 2026).</w:t>
      </w:r>
    </w:p>
    <w:p>
      <w:pPr>
        <w:spacing w:after="80"/>
        <w:ind w:left="567" w:hanging="567"/>
      </w:pPr>
      <w:r>
        <w:t>Phillips, A. (2022) 'Fixing the past: memory tourism, multiraciality, and white innocence in video games', ROMchip: A Journal of Game Histories, 4(1). Available at: https://romchip.org/index.php/romchip-journal/article/view/156 (Accessed: 14 October 2026).</w:t>
      </w:r>
    </w:p>
    <w:p>
      <w:pPr>
        <w:spacing w:after="80"/>
        <w:ind w:left="567" w:hanging="567"/>
      </w:pPr>
      <w:r>
        <w:t>Williams, D., Martins, N., Consalvo, M. and Ivory, J.D. (2009) 'The virtual census: representations of gender, race and age in video games', New Media &amp; Society, 11(5), pp. 815-834. Available at: https://doi.org/10.1177/1461444809105354 (Accessed: 14 October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